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4734" w:rsidRPr="00AF4734" w:rsidRDefault="00AF4734" w:rsidP="00AF4734">
      <w:pPr>
        <w:shd w:val="clear" w:color="auto" w:fill="FFFFFF"/>
        <w:spacing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 xml:space="preserve">CHAMAMENTO PÚBLICO </w:t>
      </w:r>
      <w:r w:rsidR="0098252D">
        <w:rPr>
          <w:rFonts w:ascii="Calibri" w:eastAsia="Times New Roman" w:hAnsi="Calibri" w:cs="Calibri"/>
          <w:b/>
          <w:bCs/>
          <w:color w:val="000000"/>
          <w:sz w:val="24"/>
          <w:szCs w:val="24"/>
        </w:rPr>
        <w:t>01/2026</w:t>
      </w:r>
      <w:r w:rsidRPr="00AF4734">
        <w:rPr>
          <w:rFonts w:ascii="Calibri" w:eastAsia="Times New Roman" w:hAnsi="Calibri" w:cs="Calibri"/>
          <w:color w:val="FF0000"/>
          <w:sz w:val="24"/>
          <w:szCs w:val="24"/>
        </w:rPr>
        <w:t> </w:t>
      </w:r>
    </w:p>
    <w:p w:rsidR="00AF4734" w:rsidRPr="00AF4734" w:rsidRDefault="00AF4734" w:rsidP="00AF4734">
      <w:pPr>
        <w:shd w:val="clear" w:color="auto" w:fill="FFFFFF"/>
        <w:spacing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REDE MUNICIPAL DE PONTOS DE CULTURA DE TAILÂNDIA-PA</w:t>
      </w:r>
      <w:r w:rsidRPr="00AF4734">
        <w:rPr>
          <w:rFonts w:ascii="Calibri" w:eastAsia="Times New Roman" w:hAnsi="Calibri" w:cs="Calibri"/>
          <w:color w:val="FF0000"/>
          <w:sz w:val="24"/>
          <w:szCs w:val="24"/>
        </w:rPr>
        <w:t> </w:t>
      </w:r>
    </w:p>
    <w:p w:rsidR="00AF4734" w:rsidRPr="00AF4734" w:rsidRDefault="00AF4734" w:rsidP="00AF4734">
      <w:pPr>
        <w:shd w:val="clear" w:color="auto" w:fill="FFFFFF"/>
        <w:spacing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p w:rsidR="00AF4734" w:rsidRPr="00AF4734" w:rsidRDefault="00AF4734" w:rsidP="00AF4734">
      <w:pPr>
        <w:shd w:val="clear" w:color="auto" w:fill="FFFFFF"/>
        <w:spacing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CULTURA VIVA DO TAMANHO DO BRASIL!</w:t>
      </w:r>
    </w:p>
    <w:p w:rsidR="00AF4734" w:rsidRPr="00AF4734" w:rsidRDefault="00AF4734" w:rsidP="00AF4734">
      <w:pPr>
        <w:shd w:val="clear" w:color="auto" w:fill="FFFFFF"/>
        <w:spacing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 FOMENTO A PROJETOS CONTINUADOS DE PONTOS DE CULTURA</w:t>
      </w:r>
    </w:p>
    <w:p w:rsidR="00AF4734" w:rsidRPr="00AF4734" w:rsidRDefault="00AF4734" w:rsidP="00AF4734">
      <w:pPr>
        <w:shd w:val="clear" w:color="auto" w:fill="FFFFFF"/>
        <w:spacing w:line="240" w:lineRule="auto"/>
        <w:ind w:left="-2" w:hanging="2"/>
        <w:jc w:val="center"/>
        <w:rPr>
          <w:rFonts w:ascii="Times New Roman" w:eastAsia="Times New Roman" w:hAnsi="Times New Roman" w:cs="Times New Roman"/>
          <w:sz w:val="24"/>
          <w:szCs w:val="24"/>
        </w:rPr>
      </w:pPr>
    </w:p>
    <w:p w:rsidR="00AF4734" w:rsidRPr="00AF4734" w:rsidRDefault="00AF4734" w:rsidP="00AF4734">
      <w:pPr>
        <w:spacing w:before="120" w:after="120"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u w:val="single"/>
        </w:rPr>
        <w:t>ANEXO 10 - MINUTA DE TERMO DE COMPROMISSO CULTURAL - PONTO DE CULTURA </w:t>
      </w:r>
    </w:p>
    <w:p w:rsidR="00AF4734" w:rsidRPr="00AF4734" w:rsidRDefault="00AF4734" w:rsidP="00AF4734">
      <w:pPr>
        <w:spacing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i/>
          <w:iCs/>
          <w:color w:val="FF0000"/>
          <w:sz w:val="20"/>
          <w:szCs w:val="20"/>
        </w:rPr>
        <w:t>(Rubricar todas as páginas)</w:t>
      </w:r>
    </w:p>
    <w:p w:rsidR="00AF4734" w:rsidRPr="00AF4734" w:rsidRDefault="00AF4734" w:rsidP="00AF4734">
      <w:pPr>
        <w:spacing w:line="240" w:lineRule="auto"/>
        <w:rPr>
          <w:rFonts w:ascii="Times New Roman" w:eastAsia="Times New Roman" w:hAnsi="Times New Roman" w:cs="Times New Roman"/>
          <w:sz w:val="24"/>
          <w:szCs w:val="24"/>
        </w:rPr>
      </w:pP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 xml:space="preserve">TERMO DE COMPROMISSO CULTURAL Nº </w:t>
      </w:r>
      <w:r w:rsidR="0098252D">
        <w:rPr>
          <w:rFonts w:ascii="Calibri" w:eastAsia="Times New Roman" w:hAnsi="Calibri" w:cs="Calibri"/>
          <w:b/>
          <w:bCs/>
          <w:color w:val="FF0000"/>
          <w:sz w:val="24"/>
          <w:szCs w:val="24"/>
        </w:rPr>
        <w:t>XX/2026</w:t>
      </w:r>
      <w:bookmarkStart w:id="0" w:name="_GoBack"/>
      <w:bookmarkEnd w:id="0"/>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1.</w:t>
            </w:r>
            <w:r w:rsidRPr="00AF4734">
              <w:rPr>
                <w:rFonts w:ascii="Calibri" w:eastAsia="Times New Roman" w:hAnsi="Calibri" w:cs="Calibri"/>
                <w:color w:val="000000"/>
                <w:sz w:val="24"/>
                <w:szCs w:val="24"/>
              </w:rPr>
              <w:t xml:space="preserve">        </w:t>
            </w:r>
            <w:r w:rsidRPr="00AF4734">
              <w:rPr>
                <w:rFonts w:ascii="Calibri" w:eastAsia="Times New Roman" w:hAnsi="Calibri" w:cs="Calibri"/>
                <w:b/>
                <w:bCs/>
                <w:color w:val="000000"/>
                <w:sz w:val="24"/>
                <w:szCs w:val="24"/>
              </w:rPr>
              <w:t>FINALIDADE</w:t>
            </w:r>
          </w:p>
        </w:tc>
      </w:tr>
      <w:tr w:rsidR="00AF4734" w:rsidRPr="00AF4734" w:rsidTr="00AF4734">
        <w:trPr>
          <w:trHeight w:val="1635"/>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O </w:t>
            </w:r>
            <w:r w:rsidRPr="00AF4734">
              <w:rPr>
                <w:rFonts w:ascii="Calibri" w:eastAsia="Times New Roman" w:hAnsi="Calibri" w:cs="Calibri"/>
                <w:color w:val="FF0000"/>
                <w:sz w:val="24"/>
                <w:szCs w:val="24"/>
              </w:rPr>
              <w:t xml:space="preserve">[NOME DO MUNICÍPIO/ESTADO], </w:t>
            </w:r>
            <w:r w:rsidRPr="00AF4734">
              <w:rPr>
                <w:rFonts w:ascii="Calibri" w:eastAsia="Times New Roman" w:hAnsi="Calibri" w:cs="Calibri"/>
                <w:color w:val="000000"/>
                <w:sz w:val="24"/>
                <w:szCs w:val="24"/>
              </w:rPr>
              <w:t>representado por</w:t>
            </w:r>
            <w:r w:rsidRPr="00AF4734">
              <w:rPr>
                <w:rFonts w:ascii="Calibri" w:eastAsia="Times New Roman" w:hAnsi="Calibri" w:cs="Calibri"/>
                <w:color w:val="FF0000"/>
                <w:sz w:val="24"/>
                <w:szCs w:val="24"/>
              </w:rPr>
              <w:t xml:space="preserve"> [NOME DO ÓRGÃO]</w:t>
            </w:r>
            <w:r w:rsidRPr="00AF4734">
              <w:rPr>
                <w:rFonts w:ascii="Calibri" w:eastAsia="Times New Roman" w:hAnsi="Calibri" w:cs="Calibri"/>
                <w:color w:val="000000"/>
                <w:sz w:val="24"/>
                <w:szCs w:val="24"/>
              </w:rPr>
              <w:t xml:space="preserve"> , e a ENTIDADE CULTURAL celebram o presente TERMO DE COMPROMISSO CULTURAL - TCC, com a finalidade de executar Projeto Cultural, nos termos do Plano de Trabalho anexo, para implementação da Política Nacional de Cultura Viva – PNCV, mediante as condições estipuladas em suas Cláusulas, nos termos da Lei nº 14.399, de 08 de julho de 2022 (PNAB), do Decreto nº 11.740, de 18 de outubro de 2023, e Portaria MinC nº 80, de 27 de outubro de 2023 (Regulamentam a PNAB), do Decreto nº 11.453, de 23 de março de 2023 (Decreto de Fomento), da Lei nº 13.018, de 22 de julho de 2014 (Lei Cultura Viva), da Instrução Normativa /MinC nº 08, de 11 de maio de 2016 (IN Cultura Viva).</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258"/>
        <w:gridCol w:w="371"/>
        <w:gridCol w:w="679"/>
        <w:gridCol w:w="371"/>
      </w:tblGrid>
      <w:tr w:rsidR="00AF4734" w:rsidRPr="00AF4734" w:rsidTr="00AF4734">
        <w:trPr>
          <w:trHeight w:val="525"/>
        </w:trPr>
        <w:tc>
          <w:tcPr>
            <w:tcW w:w="0" w:type="auto"/>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2.</w:t>
            </w:r>
            <w:r w:rsidRPr="00AF4734">
              <w:rPr>
                <w:rFonts w:ascii="Calibri" w:eastAsia="Times New Roman" w:hAnsi="Calibri" w:cs="Calibri"/>
                <w:color w:val="000000"/>
                <w:sz w:val="24"/>
                <w:szCs w:val="24"/>
              </w:rPr>
              <w:t xml:space="preserve">        </w:t>
            </w:r>
            <w:r w:rsidRPr="00AF4734">
              <w:rPr>
                <w:rFonts w:ascii="Calibri" w:eastAsia="Times New Roman" w:hAnsi="Calibri" w:cs="Calibri"/>
                <w:b/>
                <w:bCs/>
                <w:color w:val="000000"/>
                <w:sz w:val="24"/>
                <w:szCs w:val="24"/>
              </w:rPr>
              <w:t>IDENTIFICAÇÃO DAS PARTES</w:t>
            </w:r>
          </w:p>
        </w:tc>
      </w:tr>
      <w:tr w:rsidR="00AF4734" w:rsidRPr="00AF4734" w:rsidTr="00AF4734">
        <w:trPr>
          <w:trHeight w:val="525"/>
        </w:trPr>
        <w:tc>
          <w:tcPr>
            <w:tcW w:w="0" w:type="auto"/>
            <w:gridSpan w:val="4"/>
            <w:tcBorders>
              <w:top w:val="single" w:sz="4"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2.1. ENTE PÚBLICO</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Razão Social</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p w:rsidR="00AF4734" w:rsidRPr="00AF4734" w:rsidRDefault="00AF4734" w:rsidP="00AF4734">
            <w:pPr>
              <w:spacing w:line="240" w:lineRule="auto"/>
              <w:rPr>
                <w:rFonts w:ascii="Times New Roman" w:eastAsia="Times New Roman" w:hAnsi="Times New Roman" w:cs="Times New Roman"/>
                <w:sz w:val="24"/>
                <w:szCs w:val="24"/>
              </w:rPr>
            </w:pP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CNPJ</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Endereço completo</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Nome do responsável legal</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Cargo</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Registro Geral (RG)</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CPF</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Ato de nomeação</w:t>
            </w:r>
          </w:p>
        </w:tc>
        <w:tc>
          <w:tcPr>
            <w:tcW w:w="0" w:type="auto"/>
            <w:gridSpan w:val="3"/>
            <w:tcBorders>
              <w:top w:val="single" w:sz="6" w:space="0" w:color="000000"/>
              <w:left w:val="single" w:sz="6" w:space="0" w:color="000000"/>
              <w:bottom w:val="single" w:sz="4"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2.2. ENTIDADE CULTURAL</w:t>
            </w:r>
          </w:p>
        </w:tc>
      </w:tr>
      <w:tr w:rsidR="00AF4734" w:rsidRPr="00AF4734" w:rsidTr="00AF4734">
        <w:trPr>
          <w:trHeight w:val="540"/>
        </w:trPr>
        <w:tc>
          <w:tcPr>
            <w:tcW w:w="0" w:type="auto"/>
            <w:tcBorders>
              <w:top w:val="single" w:sz="4"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Razão Social</w:t>
            </w:r>
          </w:p>
        </w:tc>
        <w:tc>
          <w:tcPr>
            <w:tcW w:w="0" w:type="auto"/>
            <w:gridSpan w:val="3"/>
            <w:tcBorders>
              <w:top w:val="single" w:sz="4"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p w:rsidR="00AF4734" w:rsidRPr="00AF4734" w:rsidRDefault="00AF4734" w:rsidP="00AF4734">
            <w:pPr>
              <w:spacing w:line="240" w:lineRule="auto"/>
              <w:rPr>
                <w:rFonts w:ascii="Times New Roman" w:eastAsia="Times New Roman" w:hAnsi="Times New Roman" w:cs="Times New Roman"/>
                <w:sz w:val="24"/>
                <w:szCs w:val="24"/>
              </w:rPr>
            </w:pPr>
          </w:p>
        </w:tc>
      </w:tr>
      <w:tr w:rsidR="00AF4734" w:rsidRPr="00AF4734" w:rsidTr="00AF4734">
        <w:trPr>
          <w:trHeight w:val="540"/>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lastRenderedPageBreak/>
              <w:t>CNPJ</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Endereço completo</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Nome do responsável legal</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Cargo</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Registro Geral (RG)</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CPF</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r w:rsidR="00AF4734" w:rsidRPr="00AF4734" w:rsidTr="00AF4734">
        <w:trPr>
          <w:trHeight w:val="79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Endereço completo do responsável legal</w:t>
            </w:r>
          </w:p>
        </w:tc>
        <w:tc>
          <w:tcPr>
            <w:tcW w:w="0" w:type="auto"/>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
        </w:tc>
      </w:tr>
    </w:tbl>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                                                  </w:t>
      </w:r>
      <w:r w:rsidRPr="00AF4734">
        <w:rPr>
          <w:rFonts w:ascii="Calibri" w:eastAsia="Times New Roman" w:hAnsi="Calibri" w:cs="Calibri"/>
          <w:color w:val="000000"/>
          <w:sz w:val="24"/>
          <w:szCs w:val="24"/>
        </w:rPr>
        <w:tab/>
      </w: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3.</w:t>
            </w:r>
            <w:r w:rsidRPr="00AF4734">
              <w:rPr>
                <w:rFonts w:ascii="Calibri" w:eastAsia="Times New Roman" w:hAnsi="Calibri" w:cs="Calibri"/>
                <w:color w:val="000000"/>
                <w:sz w:val="24"/>
                <w:szCs w:val="24"/>
              </w:rPr>
              <w:t xml:space="preserve">        </w:t>
            </w:r>
            <w:r w:rsidRPr="00AF4734">
              <w:rPr>
                <w:rFonts w:ascii="Calibri" w:eastAsia="Times New Roman" w:hAnsi="Calibri" w:cs="Calibri"/>
                <w:b/>
                <w:bCs/>
                <w:color w:val="000000"/>
                <w:sz w:val="24"/>
                <w:szCs w:val="24"/>
              </w:rPr>
              <w:t>OBJETO</w:t>
            </w:r>
          </w:p>
        </w:tc>
      </w:tr>
      <w:tr w:rsidR="00AF4734" w:rsidRPr="00AF4734" w:rsidTr="00AF4734">
        <w:trPr>
          <w:trHeight w:val="1080"/>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3.1.</w:t>
            </w:r>
            <w:r w:rsidRPr="00AF4734">
              <w:rPr>
                <w:rFonts w:ascii="Calibri" w:eastAsia="Times New Roman" w:hAnsi="Calibri" w:cs="Calibri"/>
                <w:color w:val="000000"/>
                <w:sz w:val="24"/>
                <w:szCs w:val="24"/>
              </w:rPr>
              <w:t xml:space="preserve"> O presente Termo de Compromisso Cultural-TCC tem como objeto a execução de projeto selecionado no</w:t>
            </w:r>
            <w:r w:rsidRPr="00AF4734">
              <w:rPr>
                <w:rFonts w:ascii="Calibri" w:eastAsia="Times New Roman" w:hAnsi="Calibri" w:cs="Calibri"/>
                <w:color w:val="FF0000"/>
                <w:sz w:val="24"/>
                <w:szCs w:val="24"/>
              </w:rPr>
              <w:t xml:space="preserve"> Edital XXX</w:t>
            </w:r>
            <w:r w:rsidRPr="00AF4734">
              <w:rPr>
                <w:rFonts w:ascii="Calibri" w:eastAsia="Times New Roman" w:hAnsi="Calibri" w:cs="Calibri"/>
                <w:color w:val="000000"/>
                <w:sz w:val="24"/>
                <w:szCs w:val="24"/>
              </w:rPr>
              <w:t xml:space="preserve">, </w:t>
            </w:r>
            <w:r w:rsidRPr="00AF4734">
              <w:rPr>
                <w:rFonts w:ascii="Calibri" w:eastAsia="Times New Roman" w:hAnsi="Calibri" w:cs="Calibri"/>
                <w:color w:val="000000"/>
                <w:sz w:val="24"/>
                <w:szCs w:val="24"/>
                <w:shd w:val="clear" w:color="auto" w:fill="FFFFFF"/>
              </w:rPr>
              <w:t>que visa a promoção do acesso da população aos bens e aos serviços culturais nos territórios e comunidades onde atuam, nos termos da Política Nacional de Cultura Viva - PNCV, conforme Plano de Trabalho anexo.</w:t>
            </w:r>
          </w:p>
        </w:tc>
      </w:tr>
    </w:tbl>
    <w:p w:rsidR="00AF4734" w:rsidRPr="00AF4734" w:rsidRDefault="00AF4734" w:rsidP="00AF4734">
      <w:pPr>
        <w:spacing w:after="160" w:line="240" w:lineRule="auto"/>
        <w:ind w:left="-2" w:hanging="2"/>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                                                  </w:t>
      </w:r>
      <w:r w:rsidRPr="00AF4734">
        <w:rPr>
          <w:rFonts w:ascii="Calibri" w:eastAsia="Times New Roman" w:hAnsi="Calibri" w:cs="Calibri"/>
          <w:color w:val="000000"/>
          <w:sz w:val="24"/>
          <w:szCs w:val="24"/>
        </w:rPr>
        <w:tab/>
        <w:t xml:space="preserve">                                                 </w:t>
      </w:r>
      <w:r w:rsidRPr="00AF4734">
        <w:rPr>
          <w:rFonts w:ascii="Calibri" w:eastAsia="Times New Roman" w:hAnsi="Calibri" w:cs="Calibri"/>
          <w:color w:val="000000"/>
          <w:sz w:val="24"/>
          <w:szCs w:val="24"/>
        </w:rPr>
        <w:tab/>
      </w: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6"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4. OBRIGAÇÕES DAS PARTES</w:t>
            </w:r>
          </w:p>
        </w:tc>
      </w:tr>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4.1.</w:t>
            </w:r>
            <w:r w:rsidRPr="00AF4734">
              <w:rPr>
                <w:rFonts w:ascii="Calibri" w:eastAsia="Times New Roman" w:hAnsi="Calibri" w:cs="Calibri"/>
                <w:color w:val="000000"/>
                <w:sz w:val="24"/>
                <w:szCs w:val="24"/>
              </w:rPr>
              <w:t xml:space="preserve">   </w:t>
            </w:r>
            <w:r w:rsidRPr="00AF4734">
              <w:rPr>
                <w:rFonts w:ascii="Calibri" w:eastAsia="Times New Roman" w:hAnsi="Calibri" w:cs="Calibri"/>
                <w:b/>
                <w:bCs/>
                <w:color w:val="000000"/>
                <w:sz w:val="24"/>
                <w:szCs w:val="24"/>
              </w:rPr>
              <w:t>Do [NOME DO ESTADO/MUNICÍPIO]</w:t>
            </w:r>
          </w:p>
        </w:tc>
      </w:tr>
      <w:tr w:rsidR="00AF4734" w:rsidRPr="00AF4734" w:rsidTr="00AF4734">
        <w:trPr>
          <w:trHeight w:val="699"/>
        </w:trPr>
        <w:tc>
          <w:tcPr>
            <w:tcW w:w="0" w:type="auto"/>
            <w:tcBorders>
              <w:top w:val="single" w:sz="4" w:space="0" w:color="000000"/>
              <w:left w:val="single" w:sz="4" w:space="0" w:color="000000"/>
              <w:bottom w:val="single" w:sz="6"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Incumbe à </w:t>
            </w:r>
            <w:r w:rsidRPr="00AF4734">
              <w:rPr>
                <w:rFonts w:ascii="Calibri" w:eastAsia="Times New Roman" w:hAnsi="Calibri" w:cs="Calibri"/>
                <w:color w:val="FF0000"/>
                <w:sz w:val="24"/>
                <w:szCs w:val="24"/>
              </w:rPr>
              <w:t>[NOME DO ENTE PÚBLICO]</w:t>
            </w:r>
            <w:r w:rsidRPr="00AF4734">
              <w:rPr>
                <w:rFonts w:ascii="Calibri" w:eastAsia="Times New Roman" w:hAnsi="Calibri" w:cs="Calibri"/>
                <w:color w:val="000000"/>
                <w:sz w:val="24"/>
                <w:szCs w:val="24"/>
              </w:rPr>
              <w:t xml:space="preserve"> observar as obrigações descritas na Instrução legislação de regência, e as seguintes responsabilidades: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 - </w:t>
            </w:r>
            <w:proofErr w:type="gramStart"/>
            <w:r w:rsidRPr="00AF4734">
              <w:rPr>
                <w:rFonts w:ascii="Calibri" w:eastAsia="Times New Roman" w:hAnsi="Calibri" w:cs="Calibri"/>
                <w:color w:val="000000"/>
                <w:sz w:val="24"/>
                <w:szCs w:val="24"/>
              </w:rPr>
              <w:t>coordenar</w:t>
            </w:r>
            <w:proofErr w:type="gramEnd"/>
            <w:r w:rsidRPr="00AF4734">
              <w:rPr>
                <w:rFonts w:ascii="Calibri" w:eastAsia="Times New Roman" w:hAnsi="Calibri" w:cs="Calibri"/>
                <w:color w:val="000000"/>
                <w:sz w:val="24"/>
                <w:szCs w:val="24"/>
              </w:rPr>
              <w:t xml:space="preserve"> a gestão da PNCV, no âmbito de sua esfera de atuação;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w:t>
            </w:r>
            <w:proofErr w:type="gramStart"/>
            <w:r w:rsidRPr="00AF4734">
              <w:rPr>
                <w:rFonts w:ascii="Calibri" w:eastAsia="Times New Roman" w:hAnsi="Calibri" w:cs="Calibri"/>
                <w:color w:val="000000"/>
                <w:sz w:val="24"/>
                <w:szCs w:val="24"/>
              </w:rPr>
              <w:t>atuar</w:t>
            </w:r>
            <w:proofErr w:type="gramEnd"/>
            <w:r w:rsidRPr="00AF4734">
              <w:rPr>
                <w:rFonts w:ascii="Calibri" w:eastAsia="Times New Roman" w:hAnsi="Calibri" w:cs="Calibri"/>
                <w:color w:val="000000"/>
                <w:sz w:val="24"/>
                <w:szCs w:val="24"/>
              </w:rPr>
              <w:t xml:space="preserve"> em parceria federativa junto ao governo federal, governos estaduais, do Distrito Federal e municipais, e outras instituições, para efetivação dos objetivos da PNCV previstos em lei;</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III - realizar planejamento de desenvolvimento da PNCV, observando o Plano Nacional de Cultura e planos de cultura locais;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IV - </w:t>
            </w:r>
            <w:proofErr w:type="gramStart"/>
            <w:r w:rsidRPr="00AF4734">
              <w:rPr>
                <w:rFonts w:ascii="Calibri" w:eastAsia="Times New Roman" w:hAnsi="Calibri" w:cs="Calibri"/>
                <w:color w:val="000000"/>
                <w:sz w:val="24"/>
                <w:szCs w:val="24"/>
              </w:rPr>
              <w:t>garantir</w:t>
            </w:r>
            <w:proofErr w:type="gramEnd"/>
            <w:r w:rsidRPr="00AF4734">
              <w:rPr>
                <w:rFonts w:ascii="Calibri" w:eastAsia="Times New Roman" w:hAnsi="Calibri" w:cs="Calibri"/>
                <w:color w:val="000000"/>
                <w:sz w:val="24"/>
                <w:szCs w:val="24"/>
              </w:rPr>
              <w:t xml:space="preserve"> recursos humanos, orçamentários, financeiros, logísticos e tecnológicos para implementação da PNCV e efetividade de seus resultados;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V -  desenvolver uma gestão pública compartilhada e participativa, por meio da organização e institucionalização das instâncias, fóruns e espaços de diálogos institucionais entre os partícipes da PNCV, em sua área de abrangência territorial;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lastRenderedPageBreak/>
              <w:t xml:space="preserve">VI - </w:t>
            </w:r>
            <w:proofErr w:type="gramStart"/>
            <w:r w:rsidRPr="00AF4734">
              <w:rPr>
                <w:rFonts w:ascii="Calibri" w:eastAsia="Times New Roman" w:hAnsi="Calibri" w:cs="Calibri"/>
                <w:color w:val="000000"/>
                <w:sz w:val="24"/>
                <w:szCs w:val="24"/>
              </w:rPr>
              <w:t>desenvolver</w:t>
            </w:r>
            <w:proofErr w:type="gramEnd"/>
            <w:r w:rsidRPr="00AF4734">
              <w:rPr>
                <w:rFonts w:ascii="Calibri" w:eastAsia="Times New Roman" w:hAnsi="Calibri" w:cs="Calibri"/>
                <w:color w:val="000000"/>
                <w:sz w:val="24"/>
                <w:szCs w:val="24"/>
              </w:rPr>
              <w:t xml:space="preserve"> as ações estruturantes da PNCV por meio de políticas públicas integradas visando a promoção em uma cultura de direitos humanos e de valorização da cidadania e da diversidade artística e cultural;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VII - disponibilizar e manter em funcionamento o Cadastro Nacional dos Pontos e Pontões de Cultura, no âmbito de sua esfera de atuação;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VIII - fomentar ações para qualificação e formação de gestores, dirigentes de entidades culturais e outros agentes envolvidos no âmbito da PNCV;</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IX - </w:t>
            </w:r>
            <w:proofErr w:type="gramStart"/>
            <w:r w:rsidRPr="00AF4734">
              <w:rPr>
                <w:rFonts w:ascii="Calibri" w:eastAsia="Times New Roman" w:hAnsi="Calibri" w:cs="Calibri"/>
                <w:color w:val="000000"/>
                <w:sz w:val="24"/>
                <w:szCs w:val="24"/>
              </w:rPr>
              <w:t>dar</w:t>
            </w:r>
            <w:proofErr w:type="gramEnd"/>
            <w:r w:rsidRPr="00AF4734">
              <w:rPr>
                <w:rFonts w:ascii="Calibri" w:eastAsia="Times New Roman" w:hAnsi="Calibri" w:cs="Calibri"/>
                <w:color w:val="000000"/>
                <w:sz w:val="24"/>
                <w:szCs w:val="24"/>
              </w:rPr>
              <w:t xml:space="preserve"> ciência da celebração de parcerias federativas, no que couber, aos conselhos de cultura, assembleias legislativas e câmaras municipais de vereadores para efeitos de acompanhamento e fiscalização;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X - </w:t>
            </w:r>
            <w:proofErr w:type="gramStart"/>
            <w:r w:rsidRPr="00AF4734">
              <w:rPr>
                <w:rFonts w:ascii="Calibri" w:eastAsia="Times New Roman" w:hAnsi="Calibri" w:cs="Calibri"/>
                <w:color w:val="000000"/>
                <w:sz w:val="24"/>
                <w:szCs w:val="24"/>
              </w:rPr>
              <w:t>promover</w:t>
            </w:r>
            <w:proofErr w:type="gramEnd"/>
            <w:r w:rsidRPr="00AF4734">
              <w:rPr>
                <w:rFonts w:ascii="Calibri" w:eastAsia="Times New Roman" w:hAnsi="Calibri" w:cs="Calibri"/>
                <w:color w:val="000000"/>
                <w:sz w:val="24"/>
                <w:szCs w:val="24"/>
              </w:rPr>
              <w:t xml:space="preserve"> ações de publicidade da PNCV que proporcionem controle social, transparência pública e visibilidade das ações junto à sociedade;</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XI - contribuir para o fortalecimento da atuação em redes territoriais, identitárias e temáticas no âmbito da PNCV;</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XII - realizar os atos e os procedimentos relativos à formalização, execução, acompanhamento e análise da prestação de contas do presente TCC;</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XIII - realizar os procedimentos relativos à Tomada de Contas Especial, quando for o caso;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XIV - cumprir com os procedimentos de transparência e publicidade atribuídos ao poder público conforme o disposto na Seção III da IN MinC nº 08 de 11 de maio de 2016;</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XV - </w:t>
            </w:r>
            <w:proofErr w:type="gramStart"/>
            <w:r w:rsidRPr="00AF4734">
              <w:rPr>
                <w:rFonts w:ascii="Calibri" w:eastAsia="Times New Roman" w:hAnsi="Calibri" w:cs="Calibri"/>
                <w:color w:val="000000"/>
                <w:sz w:val="24"/>
                <w:szCs w:val="24"/>
              </w:rPr>
              <w:t>repassar</w:t>
            </w:r>
            <w:proofErr w:type="gramEnd"/>
            <w:r w:rsidRPr="00AF4734">
              <w:rPr>
                <w:rFonts w:ascii="Calibri" w:eastAsia="Times New Roman" w:hAnsi="Calibri" w:cs="Calibri"/>
                <w:color w:val="000000"/>
                <w:sz w:val="24"/>
                <w:szCs w:val="24"/>
              </w:rPr>
              <w:t xml:space="preserve"> os recursos financeiros ao PONTO DE CULTURA, de acordo com a programação orçamentária e financeira do ente público, obedecendo ao cronograma financeiro constante deste instrumento e do plano de trabalho;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XVI - prorrogar “de ofício” o prazo de vigência do TCC antes do seu término, quando der causa ao atraso na liberação dos recursos, limitada à prorrogação ao exato período do atraso verificado;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XVII - aplicar as penalidades previstas e proceder às ações administrativas necessárias à exigência da restituição dos recursos transferidos;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XVIII - comunicar aos Pontos e Pontões de Cultura a identificação de quaisquer irregularidades decorrentes do uso dos recursos ou pendências de ordem técnica, podendo suspender a liberação de recursos e fixar prazo de trinta dias para saneamento ou apresentação de justificativa com informações e esclarecimentos, prorrogável uma única vez por igual período.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XIX - analisar a prestação de contas dos recursos aplicados na consecução do objeto deste TCC, na forma e prazo fixados no Decreto nº 11.453/2023 e no art. 47 da IN MinC nº 08/2016;</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XX - </w:t>
            </w:r>
            <w:proofErr w:type="gramStart"/>
            <w:r w:rsidRPr="00AF4734">
              <w:rPr>
                <w:rFonts w:ascii="Calibri" w:eastAsia="Times New Roman" w:hAnsi="Calibri" w:cs="Calibri"/>
                <w:color w:val="000000"/>
                <w:sz w:val="24"/>
                <w:szCs w:val="24"/>
              </w:rPr>
              <w:t>nos</w:t>
            </w:r>
            <w:proofErr w:type="gramEnd"/>
            <w:r w:rsidRPr="00AF4734">
              <w:rPr>
                <w:rFonts w:ascii="Calibri" w:eastAsia="Times New Roman" w:hAnsi="Calibri" w:cs="Calibri"/>
                <w:color w:val="000000"/>
                <w:sz w:val="24"/>
                <w:szCs w:val="24"/>
              </w:rPr>
              <w:t xml:space="preserve"> casos em que o PONTO DE CULTURA não apresentar o Relatório de Execução do Objeto ou o Relatório de Execução Financeira nos prazos devidos, enviar notificação exigindo que o faça no prazo máximo de trinta dias, sob pena de rejeição das contas e exigência de devolução integral dos recursos, com atualização monetária e juros;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lastRenderedPageBreak/>
              <w:t>XXI - exercer, se conveniente e oportuno, a prerrogativa de assumir ou de transferir a responsabilidade pela execução do objeto, no caso de paralisação ou da ocorrência de fato relevante, de modo a evitar sua descontinuidade.</w:t>
            </w:r>
          </w:p>
          <w:p w:rsidR="00AF4734" w:rsidRPr="00AF4734" w:rsidRDefault="00AF4734" w:rsidP="00AF4734">
            <w:pPr>
              <w:spacing w:line="240" w:lineRule="auto"/>
              <w:rPr>
                <w:rFonts w:ascii="Times New Roman" w:eastAsia="Times New Roman" w:hAnsi="Times New Roman" w:cs="Times New Roman"/>
                <w:sz w:val="24"/>
                <w:szCs w:val="24"/>
              </w:rPr>
            </w:pPr>
          </w:p>
        </w:tc>
      </w:tr>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lastRenderedPageBreak/>
              <w:t>4.2.</w:t>
            </w:r>
            <w:r w:rsidRPr="00AF4734">
              <w:rPr>
                <w:rFonts w:ascii="Calibri" w:eastAsia="Times New Roman" w:hAnsi="Calibri" w:cs="Calibri"/>
                <w:color w:val="000000"/>
                <w:sz w:val="24"/>
                <w:szCs w:val="24"/>
              </w:rPr>
              <w:t xml:space="preserve">   </w:t>
            </w:r>
            <w:r w:rsidRPr="00AF4734">
              <w:rPr>
                <w:rFonts w:ascii="Calibri" w:eastAsia="Times New Roman" w:hAnsi="Calibri" w:cs="Calibri"/>
                <w:b/>
                <w:bCs/>
                <w:color w:val="000000"/>
                <w:sz w:val="24"/>
                <w:szCs w:val="24"/>
              </w:rPr>
              <w:t>Da Entidade Cultural</w:t>
            </w:r>
          </w:p>
        </w:tc>
      </w:tr>
      <w:tr w:rsidR="00AF4734" w:rsidRPr="00AF4734" w:rsidTr="00AF4734">
        <w:trPr>
          <w:trHeight w:val="22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Incumbe à Entidade Cultural observar as obrigações descritas na legislação de regência e, ainda, as seguintes responsabilidades: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 - </w:t>
            </w:r>
            <w:proofErr w:type="gramStart"/>
            <w:r w:rsidRPr="00AF4734">
              <w:rPr>
                <w:rFonts w:ascii="Calibri" w:eastAsia="Times New Roman" w:hAnsi="Calibri" w:cs="Calibri"/>
                <w:color w:val="000000"/>
                <w:sz w:val="24"/>
                <w:szCs w:val="24"/>
              </w:rPr>
              <w:t>executar</w:t>
            </w:r>
            <w:proofErr w:type="gramEnd"/>
            <w:r w:rsidRPr="00AF4734">
              <w:rPr>
                <w:rFonts w:ascii="Calibri" w:eastAsia="Times New Roman" w:hAnsi="Calibri" w:cs="Calibri"/>
                <w:color w:val="000000"/>
                <w:sz w:val="24"/>
                <w:szCs w:val="24"/>
              </w:rPr>
              <w:t xml:space="preserve"> o projeto conforme Plano de Trabalho aprovado e produzir provas documentais sobre o andamento da execução do projeto, inclusive das alterações no Plano de Trabalho;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cumprir com os procedimentos de transparência e publicidade atribuídos à entidade cultural conforme o disposto no Capítulo </w:t>
            </w:r>
            <w:proofErr w:type="gramStart"/>
            <w:r w:rsidRPr="00AF4734">
              <w:rPr>
                <w:rFonts w:ascii="Calibri" w:eastAsia="Times New Roman" w:hAnsi="Calibri" w:cs="Calibri"/>
                <w:color w:val="000000"/>
                <w:sz w:val="24"/>
                <w:szCs w:val="24"/>
              </w:rPr>
              <w:t>IV,  Seção</w:t>
            </w:r>
            <w:proofErr w:type="gramEnd"/>
            <w:r w:rsidRPr="00AF4734">
              <w:rPr>
                <w:rFonts w:ascii="Calibri" w:eastAsia="Times New Roman" w:hAnsi="Calibri" w:cs="Calibri"/>
                <w:color w:val="000000"/>
                <w:sz w:val="24"/>
                <w:szCs w:val="24"/>
              </w:rPr>
              <w:t xml:space="preserve"> III da IN MinC nº 08 de 11 de maio de 2016;</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III - divulgar, em destaque, o nome do Ministério da Cultura/Governo Federal e do ENTE PÚBLICO parceiro em todos os atos de promoção e divulgação do projeto, obedecendo aos critérios de veiculação das logomarcas estabelecidas, que serão disponibilizadas pela SCDC/MinC e pelo ENTE PÚBLICO parceiro, observadas as restrições vigentes em ano eleitoral, quando for o caso;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IV - </w:t>
            </w:r>
            <w:proofErr w:type="gramStart"/>
            <w:r w:rsidRPr="00AF4734">
              <w:rPr>
                <w:rFonts w:ascii="Calibri" w:eastAsia="Times New Roman" w:hAnsi="Calibri" w:cs="Calibri"/>
                <w:color w:val="000000"/>
                <w:sz w:val="24"/>
                <w:szCs w:val="24"/>
              </w:rPr>
              <w:t>desenvolver</w:t>
            </w:r>
            <w:proofErr w:type="gramEnd"/>
            <w:r w:rsidRPr="00AF4734">
              <w:rPr>
                <w:rFonts w:ascii="Calibri" w:eastAsia="Times New Roman" w:hAnsi="Calibri" w:cs="Calibri"/>
                <w:color w:val="000000"/>
                <w:sz w:val="24"/>
                <w:szCs w:val="24"/>
              </w:rPr>
              <w:t xml:space="preserve"> uma gestão compartilhada e participativa, por meio de instâncias, fóruns e espaços de diálogos junto aos beneficiários em sua área de abrangência;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V - </w:t>
            </w:r>
            <w:proofErr w:type="gramStart"/>
            <w:r w:rsidRPr="00AF4734">
              <w:rPr>
                <w:rFonts w:ascii="Calibri" w:eastAsia="Times New Roman" w:hAnsi="Calibri" w:cs="Calibri"/>
                <w:color w:val="000000"/>
                <w:sz w:val="24"/>
                <w:szCs w:val="24"/>
              </w:rPr>
              <w:t>envidar</w:t>
            </w:r>
            <w:proofErr w:type="gramEnd"/>
            <w:r w:rsidRPr="00AF4734">
              <w:rPr>
                <w:rFonts w:ascii="Calibri" w:eastAsia="Times New Roman" w:hAnsi="Calibri" w:cs="Calibri"/>
                <w:color w:val="000000"/>
                <w:sz w:val="24"/>
                <w:szCs w:val="24"/>
              </w:rPr>
              <w:t xml:space="preserve"> esforços visando atuar nos processos participativos instituídos pelo Sistema Nacional de Cultura-SNC (especialmente as Conferências de Cultura) e pela PNCV (especialmente as TEIAs) em âmbito local, regional e nacional;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VI - </w:t>
            </w:r>
            <w:proofErr w:type="gramStart"/>
            <w:r w:rsidRPr="00AF4734">
              <w:rPr>
                <w:rFonts w:ascii="Calibri" w:eastAsia="Times New Roman" w:hAnsi="Calibri" w:cs="Calibri"/>
                <w:color w:val="000000"/>
                <w:sz w:val="24"/>
                <w:szCs w:val="24"/>
              </w:rPr>
              <w:t>estimular</w:t>
            </w:r>
            <w:proofErr w:type="gramEnd"/>
            <w:r w:rsidRPr="00AF4734">
              <w:rPr>
                <w:rFonts w:ascii="Calibri" w:eastAsia="Times New Roman" w:hAnsi="Calibri" w:cs="Calibri"/>
                <w:color w:val="000000"/>
                <w:sz w:val="24"/>
                <w:szCs w:val="24"/>
              </w:rPr>
              <w:t xml:space="preserve"> a participação ativa dos beneficiários da PNCV nos processos participativos instituídos no SNC e na PNCV em âmbito local, regional e nacional;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VII - contribuir com a organização e funcionamento da Rede Cultura Viva e de suas instâncias, mecanismos e processos de gestão compartilhada, participação e controle social;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VIII - manter seus dados cadastrais atualizados no Cadastro Nacional de Pontos e Pontões de Cultura, atendendo à chamada anual de atualização de dados;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IX - dar transparência aos valores pagos a título de remuneração de sua equipe de trabalho vinculada à execução do TCC, em sua sede e no seu sítio eletrônico, sendo vedado o pagamento, a qualquer título, a servidor ou empregado público, salvo nas hipóteses previstas em lei específica ou na Lei de Diretrizes Orçamentárias, a empresas privadas que tenham em seu quadro societário servidor público da ativa, ou a empregado de empresa pública, ou de sociedade de economia mista, por serviços prestados, inclusive consultoria, assistência técnica ou assemelhados;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X - </w:t>
            </w:r>
            <w:proofErr w:type="gramStart"/>
            <w:r w:rsidRPr="00AF4734">
              <w:rPr>
                <w:rFonts w:ascii="Calibri" w:eastAsia="Times New Roman" w:hAnsi="Calibri" w:cs="Calibri"/>
                <w:color w:val="000000"/>
                <w:sz w:val="24"/>
                <w:szCs w:val="24"/>
              </w:rPr>
              <w:t>permitir</w:t>
            </w:r>
            <w:proofErr w:type="gramEnd"/>
            <w:r w:rsidRPr="00AF4734">
              <w:rPr>
                <w:rFonts w:ascii="Calibri" w:eastAsia="Times New Roman" w:hAnsi="Calibri" w:cs="Calibri"/>
                <w:color w:val="000000"/>
                <w:sz w:val="24"/>
                <w:szCs w:val="24"/>
              </w:rPr>
              <w:t xml:space="preserve"> livre acesso dos servidores dos órgãos ou das entidades públicas repassadoras dos recursos, do controle interno e do tribunal de contas correspondentes aos processos, aos documentos, às informações referentes aos instrumentos de transferências </w:t>
            </w:r>
            <w:r w:rsidRPr="00AF4734">
              <w:rPr>
                <w:rFonts w:ascii="Calibri" w:eastAsia="Times New Roman" w:hAnsi="Calibri" w:cs="Calibri"/>
                <w:color w:val="000000"/>
                <w:sz w:val="24"/>
                <w:szCs w:val="24"/>
              </w:rPr>
              <w:lastRenderedPageBreak/>
              <w:t>regulamentados pela Instrução Normativa/MinC nº 8/2016, bem como aos locais de execução do objeto;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XI - a responsabilidade exclusiva pelo gerenciamento administrativo e financeiro dos recursos recebidos; </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XII - pagar os encargos trabalhistas, previdenciários, fiscais e comerciais relativos ao funcionamento da instituição e ao adimplemento do TCC, não se caracterizando responsabilidade solidária ou subsidiária da administração pública concedente pelos respectivos pagamentos ou qualquer oneração do objeto da parceria ou restrição à sua execução;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XIII - prestar contas dos recursos recebidos, conforme acordado neste Termo </w:t>
            </w:r>
            <w:proofErr w:type="gramStart"/>
            <w:r w:rsidRPr="00AF4734">
              <w:rPr>
                <w:rFonts w:ascii="Calibri" w:eastAsia="Times New Roman" w:hAnsi="Calibri" w:cs="Calibri"/>
                <w:color w:val="000000"/>
                <w:sz w:val="24"/>
                <w:szCs w:val="24"/>
              </w:rPr>
              <w:t>e  na</w:t>
            </w:r>
            <w:proofErr w:type="gramEnd"/>
            <w:r w:rsidRPr="00AF4734">
              <w:rPr>
                <w:rFonts w:ascii="Calibri" w:eastAsia="Times New Roman" w:hAnsi="Calibri" w:cs="Calibri"/>
                <w:color w:val="000000"/>
                <w:sz w:val="24"/>
                <w:szCs w:val="24"/>
              </w:rPr>
              <w:t xml:space="preserve"> forma dos atos normativos que se relacionam com o tema;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XIV - guardar os documentos originais de comprovação do cumprimento do objeto pelo prazo de cinco anos após a entrega da prestação de contas, estando ciente de que a documentação de comprovação fiscal em princípio não será exigida, mas deve ser obtida e guardada pela entidade cultural pelo mesmo prazo, e inclusive pode ser solicitada para fins de demonstração de cumprimento de obrigações perante outras autoridades estatais, tais como os órgãos de fiscalização tributária, previdenciária e trabalhista, órgãos de controle interno e externo do Governo Estadual ou Federal; e</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XV - adquirir e manter em bom estado equipamentos multimídia, direcionados à cultura digital, que contribuam com o objeto pactuado, salvo quando a Entidade declare que já possui equipamento em adequadas condições de manutenção e funcionamento, comprometendo-se a disponibilizá-lo para uso na execução da parceria.</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5. DOS VALORES</w:t>
            </w:r>
          </w:p>
        </w:tc>
      </w:tr>
      <w:tr w:rsidR="00AF4734" w:rsidRPr="00AF4734" w:rsidTr="00AF4734">
        <w:trPr>
          <w:trHeight w:val="1395"/>
        </w:trPr>
        <w:tc>
          <w:tcPr>
            <w:tcW w:w="0" w:type="auto"/>
            <w:tcBorders>
              <w:top w:val="single" w:sz="4" w:space="0" w:color="000000"/>
              <w:left w:val="single" w:sz="4" w:space="0" w:color="000000"/>
              <w:bottom w:val="single" w:sz="6"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Para execução das atividades previstas no Plano de Trabalho deste TCC, serão disponibilizados pelo Ente Público recursos no valor total de</w:t>
            </w:r>
            <w:r w:rsidRPr="00AF4734">
              <w:rPr>
                <w:rFonts w:ascii="Calibri" w:eastAsia="Times New Roman" w:hAnsi="Calibri" w:cs="Calibri"/>
                <w:color w:val="FF0000"/>
                <w:sz w:val="24"/>
                <w:szCs w:val="24"/>
              </w:rPr>
              <w:t xml:space="preserve"> R$XXXX,</w:t>
            </w:r>
            <w:r w:rsidRPr="00AF4734">
              <w:rPr>
                <w:rFonts w:ascii="Calibri" w:eastAsia="Times New Roman" w:hAnsi="Calibri" w:cs="Calibri"/>
                <w:color w:val="000000"/>
                <w:sz w:val="24"/>
                <w:szCs w:val="24"/>
              </w:rPr>
              <w:t xml:space="preserve"> em parcela única, de acordo com o Cronograma de Desembolso constante do Plano de Trabalho, correspondente à Nota de Empenho </w:t>
            </w:r>
            <w:r w:rsidRPr="00AF4734">
              <w:rPr>
                <w:rFonts w:ascii="Calibri" w:eastAsia="Times New Roman" w:hAnsi="Calibri" w:cs="Calibri"/>
                <w:color w:val="FF0000"/>
                <w:sz w:val="24"/>
                <w:szCs w:val="24"/>
              </w:rPr>
              <w:t>XXXX, de XX/XX/2023.</w:t>
            </w:r>
          </w:p>
        </w:tc>
      </w:tr>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5.1 Da movimentação dos recursos financeiros</w:t>
            </w:r>
          </w:p>
        </w:tc>
      </w:tr>
      <w:tr w:rsidR="00AF4734" w:rsidRPr="00AF4734" w:rsidTr="00AF4734">
        <w:trPr>
          <w:trHeight w:val="22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Os recursos referentes ao presente Termo de Compromisso Cultural, a serem desembolsados pelo Ente Público, serão depositados e geridos em conta específica de instituição financeira indicada pela entidade cultural, na </w:t>
            </w:r>
            <w:r w:rsidRPr="00AF4734">
              <w:rPr>
                <w:rFonts w:ascii="Calibri" w:eastAsia="Times New Roman" w:hAnsi="Calibri" w:cs="Calibri"/>
                <w:color w:val="FF0000"/>
                <w:sz w:val="24"/>
                <w:szCs w:val="24"/>
              </w:rPr>
              <w:t>Agência XXXX – Banco XXXX, na cidade XXXX, UF XX,</w:t>
            </w:r>
            <w:r w:rsidRPr="00AF4734">
              <w:rPr>
                <w:rFonts w:ascii="Calibri" w:eastAsia="Times New Roman" w:hAnsi="Calibri" w:cs="Calibri"/>
                <w:color w:val="000000"/>
                <w:sz w:val="24"/>
                <w:szCs w:val="24"/>
              </w:rPr>
              <w:t xml:space="preserve"> em conformidade com os prazos estabelecidos no Cronograma Financeiro constante do Plano de Trabalho.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proofErr w:type="gramStart"/>
            <w:r w:rsidRPr="00AF4734">
              <w:rPr>
                <w:rFonts w:ascii="Calibri" w:eastAsia="Times New Roman" w:hAnsi="Calibri" w:cs="Calibri"/>
                <w:color w:val="000000"/>
                <w:sz w:val="24"/>
                <w:szCs w:val="24"/>
              </w:rPr>
              <w:t>5.1.1 Os</w:t>
            </w:r>
            <w:proofErr w:type="gramEnd"/>
            <w:r w:rsidRPr="00AF4734">
              <w:rPr>
                <w:rFonts w:ascii="Calibri" w:eastAsia="Times New Roman" w:hAnsi="Calibri" w:cs="Calibri"/>
                <w:color w:val="000000"/>
                <w:sz w:val="24"/>
                <w:szCs w:val="24"/>
              </w:rPr>
              <w:t xml:space="preserve"> recursos depositados nesta conta bancária específica, enquanto não empregados na sua finalidade, serão obrigatoriamente aplicados: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 - </w:t>
            </w:r>
            <w:proofErr w:type="gramStart"/>
            <w:r w:rsidRPr="00AF4734">
              <w:rPr>
                <w:rFonts w:ascii="Calibri" w:eastAsia="Times New Roman" w:hAnsi="Calibri" w:cs="Calibri"/>
                <w:color w:val="000000"/>
                <w:sz w:val="24"/>
                <w:szCs w:val="24"/>
              </w:rPr>
              <w:t>em</w:t>
            </w:r>
            <w:proofErr w:type="gramEnd"/>
            <w:r w:rsidRPr="00AF4734">
              <w:rPr>
                <w:rFonts w:ascii="Calibri" w:eastAsia="Times New Roman" w:hAnsi="Calibri" w:cs="Calibri"/>
                <w:color w:val="000000"/>
                <w:sz w:val="24"/>
                <w:szCs w:val="24"/>
              </w:rPr>
              <w:t xml:space="preserve"> caderneta de poupança, ou</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w:t>
            </w:r>
            <w:proofErr w:type="gramStart"/>
            <w:r w:rsidRPr="00AF4734">
              <w:rPr>
                <w:rFonts w:ascii="Calibri" w:eastAsia="Times New Roman" w:hAnsi="Calibri" w:cs="Calibri"/>
                <w:color w:val="000000"/>
                <w:sz w:val="24"/>
                <w:szCs w:val="24"/>
              </w:rPr>
              <w:t>em</w:t>
            </w:r>
            <w:proofErr w:type="gramEnd"/>
            <w:r w:rsidRPr="00AF4734">
              <w:rPr>
                <w:rFonts w:ascii="Calibri" w:eastAsia="Times New Roman" w:hAnsi="Calibri" w:cs="Calibri"/>
                <w:color w:val="000000"/>
                <w:sz w:val="24"/>
                <w:szCs w:val="24"/>
              </w:rPr>
              <w:t xml:space="preserve"> fundo de aplicação financeira de curto prazo ou operação de mercado aberto lastreada em título da dívida pública.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proofErr w:type="gramStart"/>
            <w:r w:rsidRPr="00AF4734">
              <w:rPr>
                <w:rFonts w:ascii="Calibri" w:eastAsia="Times New Roman" w:hAnsi="Calibri" w:cs="Calibri"/>
                <w:color w:val="000000"/>
                <w:sz w:val="24"/>
                <w:szCs w:val="24"/>
              </w:rPr>
              <w:lastRenderedPageBreak/>
              <w:t>5.1.2 Os</w:t>
            </w:r>
            <w:proofErr w:type="gramEnd"/>
            <w:r w:rsidRPr="00AF4734">
              <w:rPr>
                <w:rFonts w:ascii="Calibri" w:eastAsia="Times New Roman" w:hAnsi="Calibri" w:cs="Calibri"/>
                <w:color w:val="000000"/>
                <w:sz w:val="24"/>
                <w:szCs w:val="24"/>
              </w:rPr>
              <w:t xml:space="preserve"> recursos deste Termo de Compromisso Cultural serão utilizados exclusivamente para o pagamento das despesas previstas no objeto do TCC, vedada a sua aplicação em finalidade diversa, ainda que decorrentes de necessidade emergencial do </w:t>
            </w:r>
            <w:r w:rsidRPr="00AF4734">
              <w:rPr>
                <w:rFonts w:ascii="Calibri" w:eastAsia="Times New Roman" w:hAnsi="Calibri" w:cs="Calibri"/>
                <w:color w:val="000000"/>
                <w:sz w:val="24"/>
                <w:szCs w:val="24"/>
                <w:shd w:val="clear" w:color="auto" w:fill="FF00FF"/>
              </w:rPr>
              <w:t xml:space="preserve">PONTO </w:t>
            </w:r>
            <w:r w:rsidRPr="00AF4734">
              <w:rPr>
                <w:rFonts w:ascii="Calibri" w:eastAsia="Times New Roman" w:hAnsi="Calibri" w:cs="Calibri"/>
                <w:color w:val="000000"/>
                <w:sz w:val="24"/>
                <w:szCs w:val="24"/>
              </w:rPr>
              <w:t>DE CULTURA.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proofErr w:type="gramStart"/>
            <w:r w:rsidRPr="00AF4734">
              <w:rPr>
                <w:rFonts w:ascii="Calibri" w:eastAsia="Times New Roman" w:hAnsi="Calibri" w:cs="Calibri"/>
                <w:color w:val="000000"/>
                <w:sz w:val="24"/>
                <w:szCs w:val="24"/>
              </w:rPr>
              <w:t>5.1.3 Os</w:t>
            </w:r>
            <w:proofErr w:type="gramEnd"/>
            <w:r w:rsidRPr="00AF4734">
              <w:rPr>
                <w:rFonts w:ascii="Calibri" w:eastAsia="Times New Roman" w:hAnsi="Calibri" w:cs="Calibri"/>
                <w:color w:val="000000"/>
                <w:sz w:val="24"/>
                <w:szCs w:val="24"/>
              </w:rPr>
              <w:t xml:space="preserve"> rendimentos de aplicações financeiras poderão ser aplicados para manter o poder de compra dos recursos da parceria, bem como para ampliação ou criação de metas, durante a vigência do TCC, desde que contribuam para a execução do objeto, ou para incremento deste.</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5.1.4 O uso de rendimentos para as finalidades descritas no item 5.1.3 poderá ser realizado sem autorização prévia da administração pública, desde que seja descrito no Relatório de Execução do Objeto, com motivação.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5.1.5 O remanejamento de recurso no plano de trabalho poderá ocorrer desde que:</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 - </w:t>
            </w:r>
            <w:proofErr w:type="gramStart"/>
            <w:r w:rsidRPr="00AF4734">
              <w:rPr>
                <w:rFonts w:ascii="Calibri" w:eastAsia="Times New Roman" w:hAnsi="Calibri" w:cs="Calibri"/>
                <w:color w:val="000000"/>
                <w:sz w:val="24"/>
                <w:szCs w:val="24"/>
              </w:rPr>
              <w:t>seja</w:t>
            </w:r>
            <w:proofErr w:type="gramEnd"/>
            <w:r w:rsidRPr="00AF4734">
              <w:rPr>
                <w:rFonts w:ascii="Calibri" w:eastAsia="Times New Roman" w:hAnsi="Calibri" w:cs="Calibri"/>
                <w:color w:val="000000"/>
                <w:sz w:val="24"/>
                <w:szCs w:val="24"/>
              </w:rPr>
              <w:t xml:space="preserve"> realizado durante a vigência do TCC;</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w:t>
            </w:r>
            <w:proofErr w:type="gramStart"/>
            <w:r w:rsidRPr="00AF4734">
              <w:rPr>
                <w:rFonts w:ascii="Calibri" w:eastAsia="Times New Roman" w:hAnsi="Calibri" w:cs="Calibri"/>
                <w:color w:val="000000"/>
                <w:sz w:val="24"/>
                <w:szCs w:val="24"/>
              </w:rPr>
              <w:t>tenha</w:t>
            </w:r>
            <w:proofErr w:type="gramEnd"/>
            <w:r w:rsidRPr="00AF4734">
              <w:rPr>
                <w:rFonts w:ascii="Calibri" w:eastAsia="Times New Roman" w:hAnsi="Calibri" w:cs="Calibri"/>
                <w:color w:val="000000"/>
                <w:sz w:val="24"/>
                <w:szCs w:val="24"/>
              </w:rPr>
              <w:t xml:space="preserve"> como finalidade o cumprimento do objeto pactuado;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III - não altere o valor global do orçamento aprovado no TCC.</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5.1.6 Após a conclusão, rescisão ou extinção deste TCC, os saldos financeiros remanescentes, inclusive os provenientes das receitas obtidas das aplicações financeiras realizadas, deverão ser devolvidos pelo PONTO DE CULTURA ao Ente Público, no prazo de trinta dias.</w:t>
            </w:r>
          </w:p>
        </w:tc>
      </w:tr>
    </w:tbl>
    <w:p w:rsidR="00AF4734" w:rsidRPr="00AF4734" w:rsidRDefault="00AF4734" w:rsidP="00AF4734">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6. DO ACOMPANHAMENTO E AVALIAÇÃO</w:t>
            </w:r>
          </w:p>
        </w:tc>
      </w:tr>
      <w:tr w:rsidR="00AF4734" w:rsidRPr="00AF4734" w:rsidTr="00AF4734">
        <w:trPr>
          <w:trHeight w:val="22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6.1. O </w:t>
            </w:r>
            <w:r w:rsidRPr="00AF4734">
              <w:rPr>
                <w:rFonts w:ascii="Calibri" w:eastAsia="Times New Roman" w:hAnsi="Calibri" w:cs="Calibri"/>
                <w:color w:val="FF0000"/>
                <w:sz w:val="24"/>
                <w:szCs w:val="24"/>
              </w:rPr>
              <w:t>[NOME DO ENTE PÚBLICO]</w:t>
            </w:r>
            <w:r w:rsidRPr="00AF4734">
              <w:rPr>
                <w:rFonts w:ascii="Calibri" w:eastAsia="Times New Roman" w:hAnsi="Calibri" w:cs="Calibri"/>
                <w:color w:val="000000"/>
                <w:sz w:val="24"/>
                <w:szCs w:val="24"/>
              </w:rPr>
              <w:t xml:space="preserve"> realizará o acompanhamento e a avaliação da execução</w:t>
            </w:r>
            <w:r w:rsidRPr="00AF4734">
              <w:rPr>
                <w:rFonts w:ascii="Calibri" w:eastAsia="Times New Roman" w:hAnsi="Calibri" w:cs="Calibri"/>
                <w:i/>
                <w:iCs/>
                <w:color w:val="000000"/>
                <w:sz w:val="24"/>
                <w:szCs w:val="24"/>
              </w:rPr>
              <w:t xml:space="preserve"> </w:t>
            </w:r>
            <w:r w:rsidRPr="00AF4734">
              <w:rPr>
                <w:rFonts w:ascii="Calibri" w:eastAsia="Times New Roman" w:hAnsi="Calibri" w:cs="Calibri"/>
                <w:color w:val="000000"/>
                <w:sz w:val="24"/>
                <w:szCs w:val="24"/>
              </w:rPr>
              <w:t>deste TCC, periodicamente, durante a vigência da parceria, com vistas a promover o levantamento de dados para subsidiar a avaliação da prestação de contas podendo, para tanto: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 -  exigir informações técnicas (incluindo relatório fotográfico), prestações de contas parciais e/ou final a qualquer momento;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w:t>
            </w:r>
            <w:proofErr w:type="gramStart"/>
            <w:r w:rsidRPr="00AF4734">
              <w:rPr>
                <w:rFonts w:ascii="Calibri" w:eastAsia="Times New Roman" w:hAnsi="Calibri" w:cs="Calibri"/>
                <w:color w:val="000000"/>
                <w:sz w:val="24"/>
                <w:szCs w:val="24"/>
              </w:rPr>
              <w:t>exigir</w:t>
            </w:r>
            <w:proofErr w:type="gramEnd"/>
            <w:r w:rsidRPr="00AF4734">
              <w:rPr>
                <w:rFonts w:ascii="Calibri" w:eastAsia="Times New Roman" w:hAnsi="Calibri" w:cs="Calibri"/>
                <w:color w:val="000000"/>
                <w:sz w:val="24"/>
                <w:szCs w:val="24"/>
              </w:rPr>
              <w:t xml:space="preserve"> o registro, nos sistemas institucionais indicados pelo Ministério da Cultura, das atividades provenientes da execução do TCC;</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III - usar os diversos canais eletrônicos de comunicação e divulgação absorvendo informações sobre a execução do TCC e adotando providências necessárias, quando for o caso;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IV - </w:t>
            </w:r>
            <w:proofErr w:type="gramStart"/>
            <w:r w:rsidRPr="00AF4734">
              <w:rPr>
                <w:rFonts w:ascii="Calibri" w:eastAsia="Times New Roman" w:hAnsi="Calibri" w:cs="Calibri"/>
                <w:color w:val="000000"/>
                <w:sz w:val="24"/>
                <w:szCs w:val="24"/>
              </w:rPr>
              <w:t>fazer</w:t>
            </w:r>
            <w:proofErr w:type="gramEnd"/>
            <w:r w:rsidRPr="00AF4734">
              <w:rPr>
                <w:rFonts w:ascii="Calibri" w:eastAsia="Times New Roman" w:hAnsi="Calibri" w:cs="Calibri"/>
                <w:color w:val="000000"/>
                <w:sz w:val="24"/>
                <w:szCs w:val="24"/>
              </w:rPr>
              <w:t xml:space="preserve"> vistoria in loco (vistoria no local);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V - </w:t>
            </w:r>
            <w:proofErr w:type="gramStart"/>
            <w:r w:rsidRPr="00AF4734">
              <w:rPr>
                <w:rFonts w:ascii="Calibri" w:eastAsia="Times New Roman" w:hAnsi="Calibri" w:cs="Calibri"/>
                <w:color w:val="000000"/>
                <w:sz w:val="24"/>
                <w:szCs w:val="24"/>
              </w:rPr>
              <w:t>utilizar</w:t>
            </w:r>
            <w:proofErr w:type="gramEnd"/>
            <w:r w:rsidRPr="00AF4734">
              <w:rPr>
                <w:rFonts w:ascii="Calibri" w:eastAsia="Times New Roman" w:hAnsi="Calibri" w:cs="Calibri"/>
                <w:color w:val="000000"/>
                <w:sz w:val="24"/>
                <w:szCs w:val="24"/>
              </w:rPr>
              <w:t xml:space="preserve"> apoio técnico de terceiros, delegar competência ou firmar parcerias com órgãos ou entidades.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6.2 O</w:t>
            </w:r>
            <w:r w:rsidRPr="00AF4734">
              <w:rPr>
                <w:rFonts w:ascii="Calibri" w:eastAsia="Times New Roman" w:hAnsi="Calibri" w:cs="Calibri"/>
                <w:color w:val="FF0000"/>
                <w:sz w:val="24"/>
                <w:szCs w:val="24"/>
              </w:rPr>
              <w:t xml:space="preserve"> [NOME DO ENTE PÚBLICO]</w:t>
            </w:r>
            <w:r w:rsidRPr="00AF4734">
              <w:rPr>
                <w:rFonts w:ascii="Calibri" w:eastAsia="Times New Roman" w:hAnsi="Calibri" w:cs="Calibri"/>
                <w:color w:val="000000"/>
                <w:sz w:val="24"/>
                <w:szCs w:val="24"/>
              </w:rPr>
              <w:t xml:space="preserve"> produzirá registros sobre suas atividades de acompanhamento e monitoramento, por meio de certidões, memórias de reunião, relatórios ou outros documentos técnicos, podendo propor à entidade cultural a </w:t>
            </w:r>
            <w:r w:rsidRPr="00AF4734">
              <w:rPr>
                <w:rFonts w:ascii="Calibri" w:eastAsia="Times New Roman" w:hAnsi="Calibri" w:cs="Calibri"/>
                <w:color w:val="000000"/>
                <w:sz w:val="24"/>
                <w:szCs w:val="24"/>
              </w:rPr>
              <w:lastRenderedPageBreak/>
              <w:t>reorientação das ações ou a realização de ajustes para aprimorar a execução do objeto da parceria.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6.3 Os TCCs estarão também sujeitos aos mecanismos de controle social previstos na legislação e ao acompanhamento por comissões e conselhos de políticas públicas da área cultural.</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7. DA PRESTAÇÃO DE CONTAS</w:t>
            </w:r>
          </w:p>
        </w:tc>
      </w:tr>
      <w:tr w:rsidR="00AF4734" w:rsidRPr="00AF4734" w:rsidTr="00AF4734">
        <w:trPr>
          <w:trHeight w:val="22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7.1 A prestação de contas será apresentada por meio do </w:t>
            </w:r>
            <w:r w:rsidRPr="00AF4734">
              <w:rPr>
                <w:rFonts w:ascii="Calibri" w:eastAsia="Times New Roman" w:hAnsi="Calibri" w:cs="Calibri"/>
                <w:color w:val="000000"/>
                <w:sz w:val="24"/>
                <w:szCs w:val="24"/>
                <w:u w:val="single"/>
              </w:rPr>
              <w:t xml:space="preserve">Relatório de Execução do </w:t>
            </w:r>
            <w:proofErr w:type="gramStart"/>
            <w:r w:rsidRPr="00AF4734">
              <w:rPr>
                <w:rFonts w:ascii="Calibri" w:eastAsia="Times New Roman" w:hAnsi="Calibri" w:cs="Calibri"/>
                <w:color w:val="000000"/>
                <w:sz w:val="24"/>
                <w:szCs w:val="24"/>
                <w:u w:val="single"/>
              </w:rPr>
              <w:t>Objeto</w:t>
            </w:r>
            <w:r w:rsidRPr="00AF4734">
              <w:rPr>
                <w:rFonts w:ascii="Calibri" w:eastAsia="Times New Roman" w:hAnsi="Calibri" w:cs="Calibri"/>
                <w:color w:val="000000"/>
                <w:sz w:val="24"/>
                <w:szCs w:val="24"/>
              </w:rPr>
              <w:t>,,</w:t>
            </w:r>
            <w:proofErr w:type="gramEnd"/>
            <w:r w:rsidRPr="00AF4734">
              <w:rPr>
                <w:rFonts w:ascii="Calibri" w:eastAsia="Times New Roman" w:hAnsi="Calibri" w:cs="Calibri"/>
                <w:color w:val="000000"/>
                <w:sz w:val="24"/>
                <w:szCs w:val="24"/>
              </w:rPr>
              <w:t xml:space="preserve"> no prazo de noventa dias após o fim da vigência do TCC, contendo: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 - </w:t>
            </w:r>
            <w:proofErr w:type="gramStart"/>
            <w:r w:rsidRPr="00AF4734">
              <w:rPr>
                <w:rFonts w:ascii="Calibri" w:eastAsia="Times New Roman" w:hAnsi="Calibri" w:cs="Calibri"/>
                <w:color w:val="000000"/>
                <w:sz w:val="24"/>
                <w:szCs w:val="24"/>
              </w:rPr>
              <w:t>relato</w:t>
            </w:r>
            <w:proofErr w:type="gramEnd"/>
            <w:r w:rsidRPr="00AF4734">
              <w:rPr>
                <w:rFonts w:ascii="Calibri" w:eastAsia="Times New Roman" w:hAnsi="Calibri" w:cs="Calibri"/>
                <w:color w:val="000000"/>
                <w:sz w:val="24"/>
                <w:szCs w:val="24"/>
              </w:rPr>
              <w:t xml:space="preserve"> das atividades realizadas para o cumprimento do objeto, que deve tratar sobre o alcance dos objetivos, sobre ações eventualmente realizadas para promover a acessibilidade e os desdobramentos do projeto, tendo por referência as informações constantes no plano de trabalho;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w:t>
            </w:r>
            <w:proofErr w:type="gramStart"/>
            <w:r w:rsidRPr="00AF4734">
              <w:rPr>
                <w:rFonts w:ascii="Calibri" w:eastAsia="Times New Roman" w:hAnsi="Calibri" w:cs="Calibri"/>
                <w:color w:val="000000"/>
                <w:sz w:val="24"/>
                <w:szCs w:val="24"/>
              </w:rPr>
              <w:t>comparativo</w:t>
            </w:r>
            <w:proofErr w:type="gramEnd"/>
            <w:r w:rsidRPr="00AF4734">
              <w:rPr>
                <w:rFonts w:ascii="Calibri" w:eastAsia="Times New Roman" w:hAnsi="Calibri" w:cs="Calibri"/>
                <w:color w:val="000000"/>
                <w:sz w:val="24"/>
                <w:szCs w:val="24"/>
              </w:rPr>
              <w:t xml:space="preserve"> de metas propostas com os resultados alcançados, a partir das informações constantes do plano de trabalho, podendo a comprovação sobre os produtos e serviços relativos às metas se dar pela apresentação de fotos, listas de presença, vídeos, entre outros;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III - material que comprove a execução de cada item de despesa e a consecução de cada uma das metas (fotos, listas de presença, vídeos, entre outros) descrito no Plano de Trabalho.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proofErr w:type="gramStart"/>
            <w:r w:rsidRPr="00AF4734">
              <w:rPr>
                <w:rFonts w:ascii="Calibri" w:eastAsia="Times New Roman" w:hAnsi="Calibri" w:cs="Calibri"/>
                <w:color w:val="000000"/>
                <w:sz w:val="24"/>
                <w:szCs w:val="24"/>
              </w:rPr>
              <w:t>7.2 Os</w:t>
            </w:r>
            <w:proofErr w:type="gramEnd"/>
            <w:r w:rsidRPr="00AF4734">
              <w:rPr>
                <w:rFonts w:ascii="Calibri" w:eastAsia="Times New Roman" w:hAnsi="Calibri" w:cs="Calibri"/>
                <w:color w:val="000000"/>
                <w:sz w:val="24"/>
                <w:szCs w:val="24"/>
              </w:rPr>
              <w:t xml:space="preserve"> documentos originais de comprovação do cumprimento do objeto deverão ser guardados pelo PONTO DE CULTURA pelo prazo de cinco anos após a entrega da prestação de contas.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7.3 O prazo de apresentação do Relatório de Execução do Objeto poderá ser prorrogado por até trinta dias, mediante solicitação fundamentada do PONTO DE CULTURA.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7.4 Caso o Ente Público verifique que houve inadequação na execução do objeto, o PONTO DE CULTURA será notificado para apresentar Relatório de Execução Financeiro, no prazo de trinta dias, contendo: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 - relação de pagamentos, com indicação dos beneficiários desses pagamentos e identificação do item de despesa e meta relacionados a cada pagamento;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w:t>
            </w:r>
            <w:proofErr w:type="gramStart"/>
            <w:r w:rsidRPr="00AF4734">
              <w:rPr>
                <w:rFonts w:ascii="Calibri" w:eastAsia="Times New Roman" w:hAnsi="Calibri" w:cs="Calibri"/>
                <w:color w:val="000000"/>
                <w:sz w:val="24"/>
                <w:szCs w:val="24"/>
              </w:rPr>
              <w:t>extrato</w:t>
            </w:r>
            <w:proofErr w:type="gramEnd"/>
            <w:r w:rsidRPr="00AF4734">
              <w:rPr>
                <w:rFonts w:ascii="Calibri" w:eastAsia="Times New Roman" w:hAnsi="Calibri" w:cs="Calibri"/>
                <w:color w:val="000000"/>
                <w:sz w:val="24"/>
                <w:szCs w:val="24"/>
              </w:rPr>
              <w:t xml:space="preserve"> bancário da conta do TCC, incluindo toda a movimentação desde a abertura até a última movimentação, e conciliação bancária; e</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III - comprovante de recolhimento do saldo remanescente de recursos, quando houver.</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7.5 O Ente Público considerará que houve inadequação na execução do objeto quando configurada uma das seguintes hipóteses: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 - quando for identificado o descumprimento injustificado do alcance das metas; ou</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lastRenderedPageBreak/>
              <w:t>II - quando for aceita denúncia de irregularidade, mediante juízo de admissibilidade realizado pelo Ente Público.</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8. DOS BENS REMANESCENTES</w:t>
            </w:r>
          </w:p>
        </w:tc>
      </w:tr>
      <w:tr w:rsidR="00AF4734" w:rsidRPr="00AF4734" w:rsidTr="00AF4734">
        <w:trPr>
          <w:trHeight w:val="22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proofErr w:type="gramStart"/>
            <w:r w:rsidRPr="00AF4734">
              <w:rPr>
                <w:rFonts w:ascii="Calibri" w:eastAsia="Times New Roman" w:hAnsi="Calibri" w:cs="Calibri"/>
                <w:color w:val="000000"/>
                <w:sz w:val="24"/>
                <w:szCs w:val="24"/>
              </w:rPr>
              <w:t>8.1 Os</w:t>
            </w:r>
            <w:proofErr w:type="gramEnd"/>
            <w:r w:rsidRPr="00AF4734">
              <w:rPr>
                <w:rFonts w:ascii="Calibri" w:eastAsia="Times New Roman" w:hAnsi="Calibri" w:cs="Calibri"/>
                <w:color w:val="000000"/>
                <w:sz w:val="24"/>
                <w:szCs w:val="24"/>
              </w:rPr>
              <w:t xml:space="preserve"> bens patrimoniais adquiridos, produzidos, transformados ou construídos com recursos deste TCC são da titularidade da Entidade Cultural celebrante e ficarão afetados ao objeto do presente TCC durante o prazo de sua duração, sendo considerados bens remanescentes ao seu término, dispensada a celebração de instrumento específico para esta finalidade.</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8.2 Quando da extinção da parceria, os bens remanescentes permanecerão na propriedade da Entidade Cultural, na medida em que os bens sejam úteis à continuidade da execução de ações de interesse social pela organização.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8.3 Caso a prestação de contas final seja rejeitada, a titularidade dos bens remanescentes permanecerá com a Entidade Cultural, observados os seguintes procedimentos: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 -  não será exigido ressarcimento do valor relativo ao bem adquirido quando a motivação da rejeição não estiver relacionada ao seu uso ou aquisição; ou</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w:t>
            </w:r>
            <w:proofErr w:type="gramStart"/>
            <w:r w:rsidRPr="00AF4734">
              <w:rPr>
                <w:rFonts w:ascii="Calibri" w:eastAsia="Times New Roman" w:hAnsi="Calibri" w:cs="Calibri"/>
                <w:color w:val="000000"/>
                <w:sz w:val="24"/>
                <w:szCs w:val="24"/>
              </w:rPr>
              <w:t>o</w:t>
            </w:r>
            <w:proofErr w:type="gramEnd"/>
            <w:r w:rsidRPr="00AF4734">
              <w:rPr>
                <w:rFonts w:ascii="Calibri" w:eastAsia="Times New Roman" w:hAnsi="Calibri" w:cs="Calibri"/>
                <w:color w:val="000000"/>
                <w:sz w:val="24"/>
                <w:szCs w:val="24"/>
              </w:rPr>
              <w:t xml:space="preserve"> valor pelo qual o bem remanescente foi adquirido deverá ser computado no cálculo do dano ao erário a ser ressarcido, quando a motivação da rejeição estiver relacionada ao seu uso ou aquisição. </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proofErr w:type="gramStart"/>
            <w:r w:rsidRPr="00AF4734">
              <w:rPr>
                <w:rFonts w:ascii="Calibri" w:eastAsia="Times New Roman" w:hAnsi="Calibri" w:cs="Calibri"/>
                <w:color w:val="000000"/>
                <w:sz w:val="24"/>
                <w:szCs w:val="24"/>
              </w:rPr>
              <w:t>8.4 Na</w:t>
            </w:r>
            <w:proofErr w:type="gramEnd"/>
            <w:r w:rsidRPr="00AF4734">
              <w:rPr>
                <w:rFonts w:ascii="Calibri" w:eastAsia="Times New Roman" w:hAnsi="Calibri" w:cs="Calibri"/>
                <w:color w:val="000000"/>
                <w:sz w:val="24"/>
                <w:szCs w:val="24"/>
              </w:rPr>
              <w:t xml:space="preserve"> hipótese de dissolução da Entidade Cultural durante a vigência do TCC, o valor pelo qual os bens remanescentes foram adquiridos deverá ser computado no cálculo do valor a ser ressarcido.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8.5 A Entidade Cultural poderá realizar doação dos bens remanescentes a terceiros, inclusive beneficiários da política pública objeto da parceria, desde que demonstrada sua utilidade para realização ou continuidade de ações de interesse social.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proofErr w:type="gramStart"/>
            <w:r w:rsidRPr="00AF4734">
              <w:rPr>
                <w:rFonts w:ascii="Calibri" w:eastAsia="Times New Roman" w:hAnsi="Calibri" w:cs="Calibri"/>
                <w:color w:val="000000"/>
                <w:sz w:val="24"/>
                <w:szCs w:val="24"/>
              </w:rPr>
              <w:t>8.6 Os</w:t>
            </w:r>
            <w:proofErr w:type="gramEnd"/>
            <w:r w:rsidRPr="00AF4734">
              <w:rPr>
                <w:rFonts w:ascii="Calibri" w:eastAsia="Times New Roman" w:hAnsi="Calibri" w:cs="Calibri"/>
                <w:color w:val="000000"/>
                <w:sz w:val="24"/>
                <w:szCs w:val="24"/>
              </w:rPr>
              <w:t xml:space="preserve"> bens remanescentes poderão ter sua propriedade revertida para o Ente Público, a critério deste, se ao término da parceria ficar constatado que a Entidade Cultural não terá condições de dar continuidade à execução de ações de interesse social e a transferência da propriedade for necessária para assegurar a continuidade do objeto pactuado, seja por meio da celebração de nova parceria, seja pela execução direta do objeto pela Administração Pública Federal.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8.7 A destinação dos bens remanescentes poderá ser alterada por meio da celebração de Termo Aditivo ao TCC, após solicitação fundamentada de uma das partes.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8.8 No caso de término da execução do TCC antes da manifestação sobre eventual solicitação de uma das partes de alteração da destinação dos bens remanescentes, a </w:t>
            </w:r>
            <w:r w:rsidRPr="00AF4734">
              <w:rPr>
                <w:rFonts w:ascii="Calibri" w:eastAsia="Times New Roman" w:hAnsi="Calibri" w:cs="Calibri"/>
                <w:color w:val="000000"/>
                <w:sz w:val="24"/>
                <w:szCs w:val="24"/>
              </w:rPr>
              <w:lastRenderedPageBreak/>
              <w:t>custódia dos bens permanecerá sob a responsabilidade da Entidade Cultural até a decisão do pedido.</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9. DA PROPRIEDADE INTELECTUAL</w:t>
            </w:r>
          </w:p>
        </w:tc>
      </w:tr>
      <w:tr w:rsidR="00AF4734" w:rsidRPr="00AF4734" w:rsidTr="00AF4734">
        <w:trPr>
          <w:trHeight w:val="22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9.1 Caso as atividades realizadas pela ENTIDADE CULTURAL com recursos públicos provenientes do Termo de Compromisso Cultural deem origem a bens passíveis de proteção pelo direito de propriedade intelectual, a exemplo de invenções, modelos de utilidade, desenhos industriais, obras intelectuais, cultivares, direitos autorais, programas de computador e outros tipos de criação, a ENTIDADE CULTURAL terá a titularidade da propriedade intelectual e a participação nos ganhos econômicos resultantes da exploração dos respectivos bens, os quais ficarão gravados com cláusula de inalienabilidade durante a vigência do Termo de Compromisso Cultural.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9.2 - A ORGANIZAÇÃO DA SOCIEDADE CIVIL declara, mediante a assinatura deste instrumento, que se responsabiliza integralmente por providenciar desde já, independente de solicitação da ADMINISTRAÇÃO PÚBLICA, todas as autorizações necessárias para que a ADMINISTRAÇÃO PÚBLICA, sem ônus, durante o prazo de proteção dos direitos incidentes, em território nacional e estrangeiro, em caráter não exclusivo, utilize para fins de divulgação da Política Nacional de Cultura Viva, os bens submetidos a regime de propriedade intelectual que eventualmente decorrerem da execução deste TCC, da seguinte forma: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9.2.1 - Quanto aos direitos de que trata a Lei Nacional nº 9.279/1996, pelo uso de produto objeto de patente, processo ou produto obtido diretamente por processo patenteado, desenho industrial, indicação geográfica e marcas;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9.2.2 - Quanto aos direitos de que trata a Lei Nacional nº 9.610/1998, pelas seguintes modalidades: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 - </w:t>
            </w:r>
            <w:proofErr w:type="gramStart"/>
            <w:r w:rsidRPr="00AF4734">
              <w:rPr>
                <w:rFonts w:ascii="Calibri" w:eastAsia="Times New Roman" w:hAnsi="Calibri" w:cs="Calibri"/>
                <w:color w:val="000000"/>
                <w:sz w:val="24"/>
                <w:szCs w:val="24"/>
              </w:rPr>
              <w:t>a</w:t>
            </w:r>
            <w:proofErr w:type="gramEnd"/>
            <w:r w:rsidRPr="00AF4734">
              <w:rPr>
                <w:rFonts w:ascii="Calibri" w:eastAsia="Times New Roman" w:hAnsi="Calibri" w:cs="Calibri"/>
                <w:color w:val="000000"/>
                <w:sz w:val="24"/>
                <w:szCs w:val="24"/>
              </w:rPr>
              <w:t xml:space="preserve"> reprodução parcial ou integral, para fins de divulgação;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II - </w:t>
            </w:r>
            <w:proofErr w:type="gramStart"/>
            <w:r w:rsidRPr="00AF4734">
              <w:rPr>
                <w:rFonts w:ascii="Calibri" w:eastAsia="Times New Roman" w:hAnsi="Calibri" w:cs="Calibri"/>
                <w:color w:val="000000"/>
                <w:sz w:val="24"/>
                <w:szCs w:val="24"/>
              </w:rPr>
              <w:t>a</w:t>
            </w:r>
            <w:proofErr w:type="gramEnd"/>
            <w:r w:rsidRPr="00AF4734">
              <w:rPr>
                <w:rFonts w:ascii="Calibri" w:eastAsia="Times New Roman" w:hAnsi="Calibri" w:cs="Calibri"/>
                <w:color w:val="000000"/>
                <w:sz w:val="24"/>
                <w:szCs w:val="24"/>
              </w:rPr>
              <w:t xml:space="preserve"> tradução para qualquer idioma;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III - a inclusão em fonograma ou produção audiovisual;</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IV - </w:t>
            </w:r>
            <w:proofErr w:type="gramStart"/>
            <w:r w:rsidRPr="00AF4734">
              <w:rPr>
                <w:rFonts w:ascii="Calibri" w:eastAsia="Times New Roman" w:hAnsi="Calibri" w:cs="Calibri"/>
                <w:color w:val="000000"/>
                <w:sz w:val="24"/>
                <w:szCs w:val="24"/>
              </w:rPr>
              <w:t>a</w:t>
            </w:r>
            <w:proofErr w:type="gramEnd"/>
            <w:r w:rsidRPr="00AF4734">
              <w:rPr>
                <w:rFonts w:ascii="Calibri" w:eastAsia="Times New Roman" w:hAnsi="Calibri" w:cs="Calibri"/>
                <w:color w:val="000000"/>
                <w:sz w:val="24"/>
                <w:szCs w:val="24"/>
              </w:rPr>
              <w:t xml:space="preserve"> inclusão em base de dados, o armazenamento em computador, a microfilmagem e as demais formas de arquivamento do gênero.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9.2 Quando da extinção do TCC, os bens remanescentes passíveis de proteção pelo direito de propriedade intelectual poderão ter sua propriedade revertida para o órgão ou entidade pública federal, a critério da Administração Pública, quando a ENTIDADE CULTURAL não tiver condições de dar continuidade à execução de ações de interesse social e a transferência da propriedade for necessária para assegurar a continuidade do objeto </w:t>
            </w:r>
            <w:r w:rsidRPr="00AF4734">
              <w:rPr>
                <w:rFonts w:ascii="Calibri" w:eastAsia="Times New Roman" w:hAnsi="Calibri" w:cs="Calibri"/>
                <w:color w:val="000000"/>
                <w:sz w:val="24"/>
                <w:szCs w:val="24"/>
              </w:rPr>
              <w:lastRenderedPageBreak/>
              <w:t>pactuado, seja por meio da celebração de nova parceria, seja pela execução direta do objeto pela Administração Pública.</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10. DO PRAZO DE VIGÊNCIA</w:t>
            </w:r>
          </w:p>
        </w:tc>
      </w:tr>
      <w:tr w:rsidR="00AF4734" w:rsidRPr="00AF4734" w:rsidTr="00AF4734">
        <w:trPr>
          <w:trHeight w:val="984"/>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xml:space="preserve">10.1 O prazo de vigência deste TCC </w:t>
            </w:r>
            <w:r w:rsidRPr="00AF4734">
              <w:rPr>
                <w:rFonts w:ascii="Calibri" w:eastAsia="Times New Roman" w:hAnsi="Calibri" w:cs="Calibri"/>
                <w:color w:val="FF0000"/>
                <w:sz w:val="24"/>
                <w:szCs w:val="24"/>
              </w:rPr>
              <w:t>será de 12 (doze) meses</w:t>
            </w:r>
            <w:r w:rsidRPr="00AF4734">
              <w:rPr>
                <w:rFonts w:ascii="Calibri" w:eastAsia="Times New Roman" w:hAnsi="Calibri" w:cs="Calibri"/>
                <w:color w:val="000000"/>
                <w:sz w:val="24"/>
                <w:szCs w:val="24"/>
              </w:rPr>
              <w:t xml:space="preserve">, contados a partir da data de sua assinatura, podendo ser prorrogado </w:t>
            </w:r>
            <w:r w:rsidRPr="00AF4734">
              <w:rPr>
                <w:rFonts w:ascii="Calibri" w:eastAsia="Times New Roman" w:hAnsi="Calibri" w:cs="Calibri"/>
                <w:color w:val="FF0000"/>
                <w:sz w:val="24"/>
                <w:szCs w:val="24"/>
              </w:rPr>
              <w:t>pelo dobro do tempo pactuado</w:t>
            </w:r>
            <w:r w:rsidRPr="00AF4734">
              <w:rPr>
                <w:rFonts w:ascii="Calibri" w:eastAsia="Times New Roman" w:hAnsi="Calibri" w:cs="Calibri"/>
                <w:color w:val="000000"/>
                <w:sz w:val="24"/>
                <w:szCs w:val="24"/>
              </w:rPr>
              <w:t>, mediante acordo entre as partes, excetuadas as prorrogações de ofício por atraso na liberação dos recursos.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10.2 A vigência do TCC poderá ser alterada mediante solicitação da entidade cultural, a ser apresentada à administração pública em, no mínimo, trinta dias antes do término de sua vigência.</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10.3 A prorrogação de ofício da vigência do instrumento deve ser feita pela administração pública, antes do seu término, quando ela der causa a atraso na liberação dos recursos, limitada ao exato período do atraso verificado.</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11. DA RESCISÃO</w:t>
            </w:r>
          </w:p>
        </w:tc>
      </w:tr>
      <w:tr w:rsidR="00AF4734" w:rsidRPr="00AF4734" w:rsidTr="00AF4734">
        <w:trPr>
          <w:trHeight w:val="2265"/>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proofErr w:type="gramStart"/>
            <w:r w:rsidRPr="00AF4734">
              <w:rPr>
                <w:rFonts w:ascii="Calibri" w:eastAsia="Times New Roman" w:hAnsi="Calibri" w:cs="Calibri"/>
                <w:color w:val="000000"/>
                <w:sz w:val="24"/>
                <w:szCs w:val="24"/>
              </w:rPr>
              <w:t>11.1 É</w:t>
            </w:r>
            <w:proofErr w:type="gramEnd"/>
            <w:r w:rsidRPr="00AF4734">
              <w:rPr>
                <w:rFonts w:ascii="Calibri" w:eastAsia="Times New Roman" w:hAnsi="Calibri" w:cs="Calibri"/>
                <w:color w:val="000000"/>
                <w:sz w:val="24"/>
                <w:szCs w:val="24"/>
              </w:rPr>
              <w:t xml:space="preserve"> facultado ao Ente Público e à entidade cultural rescindirem este TCC, a qualquer tempo, com as respectivas condições, sanções e delimitações claras de responsabilidades, além da estipulação de prazo mínimo de antecedência para a publicidade dessa intenção, que não poderá ser inferior a 60 (sessenta) dias.</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11.2 O Ente Público deverá rescindir este TCC caso seja cancelada a certificação simplificada do Pontão ou Pontão de Cultura, respeitados os atos jurídicos perfeitos, na forma do art. 11 da Instrução Normativa/MinC nº 8/2016.</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11.3 A Entidade Cultural deverá devolver ao Ente Público os saldos financeiros remanescentes, inclusive os provenientes das receitas obtidas das aplicações financeiras realizadas, no prazo de trinta dias após a conclusão, rescisão ou extinção da parceria, sob pena de adoção de medidas cabíveis para ressarcimento ao erário.</w:t>
            </w:r>
          </w:p>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11.4 Havendo rescisão, a entidade cultural fica obrigada a prestar contas de tudo que fora executado até a data da rescisão, observado o prazo e regras da Seção 7.</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12.. DA PUBLICAÇÃO</w:t>
            </w:r>
          </w:p>
        </w:tc>
      </w:tr>
      <w:tr w:rsidR="00AF4734" w:rsidRPr="00AF4734" w:rsidTr="00AF4734">
        <w:trPr>
          <w:trHeight w:val="851"/>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O Ente Público publicará extrato deste TCC no meio oficial de publicidade da administração pública, após a assinatura, para que se inicie a produção de seus efeitos.</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13"/>
      </w:tblGrid>
      <w:tr w:rsidR="00AF4734" w:rsidRPr="00AF4734" w:rsidTr="00AF4734">
        <w:trPr>
          <w:trHeight w:val="525"/>
        </w:trPr>
        <w:tc>
          <w:tcPr>
            <w:tcW w:w="0" w:type="auto"/>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lastRenderedPageBreak/>
              <w:t>13. DO FORO</w:t>
            </w:r>
          </w:p>
        </w:tc>
      </w:tr>
      <w:tr w:rsidR="00AF4734" w:rsidRPr="00AF4734" w:rsidTr="00AF4734">
        <w:trPr>
          <w:trHeight w:val="851"/>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As partes comprometem-se a submeter eventuais controvérsias decorrentes do presente ajuste à prévia tentativa de solução administrativa. As controvérsias que não possam ser resolvidas administrativamente serão submetidas ao foro da Justiça de Jaguariúna-SP.</w:t>
            </w:r>
          </w:p>
        </w:tc>
      </w:tr>
    </w:tbl>
    <w:p w:rsidR="00AF4734" w:rsidRPr="00AF4734" w:rsidRDefault="00AF4734" w:rsidP="00AF4734">
      <w:pPr>
        <w:spacing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4150"/>
        <w:gridCol w:w="4863"/>
      </w:tblGrid>
      <w:tr w:rsidR="00AF4734" w:rsidRPr="00AF4734" w:rsidTr="00AF4734">
        <w:trPr>
          <w:trHeight w:val="525"/>
        </w:trPr>
        <w:tc>
          <w:tcPr>
            <w:tcW w:w="0" w:type="auto"/>
            <w:gridSpan w:val="2"/>
            <w:tcBorders>
              <w:top w:val="single" w:sz="6" w:space="0" w:color="000000"/>
              <w:left w:val="single" w:sz="6" w:space="0" w:color="000000"/>
              <w:bottom w:val="single" w:sz="4" w:space="0" w:color="000000"/>
              <w:right w:val="single" w:sz="6" w:space="0" w:color="000000"/>
            </w:tcBorders>
            <w:shd w:val="clear" w:color="auto" w:fill="D9D9D9"/>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14. DATA E ASSINATURAS</w:t>
            </w:r>
          </w:p>
        </w:tc>
      </w:tr>
      <w:tr w:rsidR="00AF4734" w:rsidRPr="00AF4734" w:rsidTr="00AF4734">
        <w:trPr>
          <w:trHeight w:val="851"/>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both"/>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E, por assim estarem plenamente de acordo, as partes obrigam-se ao total cumprimento dos termos do presente instrumento.</w:t>
            </w:r>
          </w:p>
        </w:tc>
      </w:tr>
      <w:tr w:rsidR="00AF4734" w:rsidRPr="00AF4734" w:rsidTr="00AF4734">
        <w:trPr>
          <w:trHeight w:val="851"/>
        </w:trPr>
        <w:tc>
          <w:tcPr>
            <w:tcW w:w="0" w:type="auto"/>
            <w:tcBorders>
              <w:top w:val="single" w:sz="4" w:space="0" w:color="000000"/>
              <w:left w:val="single" w:sz="4" w:space="0" w:color="000000"/>
              <w:bottom w:val="single" w:sz="4" w:space="0" w:color="000000"/>
              <w:right w:val="single" w:sz="4" w:space="0" w:color="000000"/>
            </w:tcBorders>
            <w:shd w:val="clear" w:color="auto" w:fill="FFFFFF"/>
            <w:tcMar>
              <w:top w:w="0" w:type="dxa"/>
              <w:left w:w="100" w:type="dxa"/>
              <w:bottom w:w="0" w:type="dxa"/>
              <w:right w:w="100" w:type="dxa"/>
            </w:tcMar>
            <w:hideMark/>
          </w:tcPr>
          <w:p w:rsidR="00AF4734" w:rsidRPr="00AF4734" w:rsidRDefault="00AF4734" w:rsidP="00AF4734">
            <w:pPr>
              <w:spacing w:before="120" w:after="120"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w:t>
            </w:r>
            <w:proofErr w:type="gramStart"/>
            <w:r w:rsidRPr="00AF4734">
              <w:rPr>
                <w:rFonts w:ascii="Calibri" w:eastAsia="Times New Roman" w:hAnsi="Calibri" w:cs="Calibri"/>
                <w:i/>
                <w:iCs/>
                <w:color w:val="000000"/>
                <w:sz w:val="24"/>
                <w:szCs w:val="24"/>
              </w:rPr>
              <w:t>assinado</w:t>
            </w:r>
            <w:proofErr w:type="gramEnd"/>
            <w:r w:rsidRPr="00AF4734">
              <w:rPr>
                <w:rFonts w:ascii="Calibri" w:eastAsia="Times New Roman" w:hAnsi="Calibri" w:cs="Calibri"/>
                <w:i/>
                <w:iCs/>
                <w:color w:val="000000"/>
                <w:sz w:val="24"/>
                <w:szCs w:val="24"/>
              </w:rPr>
              <w:t xml:space="preserve"> eletronicamente</w:t>
            </w:r>
            <w:r w:rsidRPr="00AF4734">
              <w:rPr>
                <w:rFonts w:ascii="Calibri" w:eastAsia="Times New Roman" w:hAnsi="Calibri" w:cs="Calibri"/>
                <w:color w:val="000000"/>
                <w:sz w:val="24"/>
                <w:szCs w:val="24"/>
              </w:rPr>
              <w:t>)</w:t>
            </w:r>
          </w:p>
          <w:p w:rsidR="00AF4734" w:rsidRPr="00AF4734" w:rsidRDefault="00AF4734" w:rsidP="00AF4734">
            <w:pPr>
              <w:spacing w:before="120" w:after="120"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b/>
                <w:bCs/>
                <w:color w:val="000000"/>
                <w:sz w:val="24"/>
                <w:szCs w:val="24"/>
              </w:rPr>
              <w:t>NOME</w:t>
            </w:r>
          </w:p>
          <w:p w:rsidR="00AF4734" w:rsidRPr="00AF4734" w:rsidRDefault="00AF4734" w:rsidP="00AF4734">
            <w:pPr>
              <w:spacing w:before="120" w:after="120"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CARGO</w:t>
            </w:r>
          </w:p>
          <w:p w:rsidR="00AF4734" w:rsidRPr="00AF4734" w:rsidRDefault="00AF4734" w:rsidP="00AF4734">
            <w:pPr>
              <w:spacing w:before="120" w:after="120"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Representante legal da entidade cultural</w:t>
            </w:r>
          </w:p>
        </w:tc>
        <w:tc>
          <w:tcPr>
            <w:tcW w:w="0" w:type="auto"/>
            <w:tcBorders>
              <w:top w:val="single" w:sz="4" w:space="0" w:color="000000"/>
              <w:left w:val="single" w:sz="4" w:space="0" w:color="000000"/>
              <w:bottom w:val="single" w:sz="4" w:space="0" w:color="000000"/>
              <w:right w:val="single" w:sz="4" w:space="0" w:color="000000"/>
            </w:tcBorders>
            <w:shd w:val="clear" w:color="auto" w:fill="FFFFFF"/>
            <w:tcMar>
              <w:top w:w="100" w:type="dxa"/>
              <w:left w:w="100" w:type="dxa"/>
              <w:bottom w:w="100" w:type="dxa"/>
              <w:right w:w="100" w:type="dxa"/>
            </w:tcMar>
            <w:hideMark/>
          </w:tcPr>
          <w:p w:rsidR="00AF4734" w:rsidRPr="00AF4734" w:rsidRDefault="00AF4734" w:rsidP="00AF4734">
            <w:pPr>
              <w:spacing w:before="120" w:after="120"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  (</w:t>
            </w:r>
            <w:proofErr w:type="gramStart"/>
            <w:r w:rsidRPr="00AF4734">
              <w:rPr>
                <w:rFonts w:ascii="Calibri" w:eastAsia="Times New Roman" w:hAnsi="Calibri" w:cs="Calibri"/>
                <w:i/>
                <w:iCs/>
                <w:color w:val="000000"/>
                <w:sz w:val="24"/>
                <w:szCs w:val="24"/>
              </w:rPr>
              <w:t>assinado</w:t>
            </w:r>
            <w:proofErr w:type="gramEnd"/>
            <w:r w:rsidRPr="00AF4734">
              <w:rPr>
                <w:rFonts w:ascii="Calibri" w:eastAsia="Times New Roman" w:hAnsi="Calibri" w:cs="Calibri"/>
                <w:i/>
                <w:iCs/>
                <w:color w:val="000000"/>
                <w:sz w:val="24"/>
                <w:szCs w:val="24"/>
              </w:rPr>
              <w:t xml:space="preserve"> eletronicamente</w:t>
            </w:r>
            <w:r w:rsidRPr="00AF4734">
              <w:rPr>
                <w:rFonts w:ascii="Calibri" w:eastAsia="Times New Roman" w:hAnsi="Calibri" w:cs="Calibri"/>
                <w:color w:val="000000"/>
                <w:sz w:val="24"/>
                <w:szCs w:val="24"/>
              </w:rPr>
              <w:t>)</w:t>
            </w:r>
          </w:p>
          <w:p w:rsidR="00AF4734" w:rsidRPr="00AF4734" w:rsidRDefault="00AF4734" w:rsidP="00AF4734">
            <w:pPr>
              <w:spacing w:before="120" w:after="120" w:line="240" w:lineRule="auto"/>
              <w:ind w:left="-2" w:hanging="2"/>
              <w:jc w:val="center"/>
              <w:rPr>
                <w:rFonts w:ascii="Times New Roman" w:eastAsia="Times New Roman" w:hAnsi="Times New Roman" w:cs="Times New Roman"/>
                <w:sz w:val="24"/>
                <w:szCs w:val="24"/>
              </w:rPr>
            </w:pPr>
            <w:r w:rsidRPr="00AF4734">
              <w:rPr>
                <w:rFonts w:ascii="Calibri" w:eastAsia="Times New Roman" w:hAnsi="Calibri" w:cs="Calibri"/>
                <w:color w:val="000000"/>
                <w:sz w:val="24"/>
                <w:szCs w:val="24"/>
              </w:rPr>
              <w:t>Representante legal do órgão ou entidade pública</w:t>
            </w:r>
          </w:p>
        </w:tc>
      </w:tr>
    </w:tbl>
    <w:p w:rsidR="00670717" w:rsidRPr="00AF4734" w:rsidRDefault="00670717" w:rsidP="00AF4734"/>
    <w:sectPr w:rsidR="00670717" w:rsidRPr="00AF4734">
      <w:headerReference w:type="default" r:id="rId8"/>
      <w:footerReference w:type="default" r:id="rId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3A5A" w:rsidRDefault="00A23A5A">
      <w:pPr>
        <w:spacing w:line="240" w:lineRule="auto"/>
      </w:pPr>
      <w:r>
        <w:separator/>
      </w:r>
    </w:p>
  </w:endnote>
  <w:endnote w:type="continuationSeparator" w:id="0">
    <w:p w:rsidR="00A23A5A" w:rsidRDefault="00A23A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embedRegular r:id="rId1" w:fontKey="{DFC22553-2922-4616-A1FA-15B5F23FBCC7}"/>
    <w:embedBold r:id="rId2" w:fontKey="{C87CC29C-3E44-4D92-A525-6BD08D1CD068}"/>
    <w:embedItalic r:id="rId3" w:fontKey="{DDBD2FEE-0797-4BD8-BB8C-6E88720EAA85}"/>
  </w:font>
  <w:font w:name="Cambria">
    <w:panose1 w:val="02040503050406030204"/>
    <w:charset w:val="00"/>
    <w:family w:val="roman"/>
    <w:pitch w:val="variable"/>
    <w:sig w:usb0="E00006FF" w:usb1="420024FF" w:usb2="02000000" w:usb3="00000000" w:csb0="0000019F" w:csb1="00000000"/>
    <w:embedRegular r:id="rId4" w:fontKey="{9E268769-88BB-4CD1-9EBE-2387380C39E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0717" w:rsidRDefault="004676FD">
    <w:pPr>
      <w:pBdr>
        <w:top w:val="nil"/>
        <w:left w:val="nil"/>
        <w:bottom w:val="nil"/>
        <w:right w:val="nil"/>
        <w:between w:val="nil"/>
      </w:pBdr>
      <w:tabs>
        <w:tab w:val="center" w:pos="4252"/>
        <w:tab w:val="right" w:pos="8504"/>
      </w:tabs>
      <w:spacing w:line="240" w:lineRule="auto"/>
      <w:rPr>
        <w:color w:val="000000"/>
        <w:sz w:val="20"/>
        <w:szCs w:val="20"/>
      </w:rPr>
    </w:pPr>
    <w:r>
      <w:rPr>
        <w:noProof/>
      </w:rPr>
      <w:drawing>
        <wp:anchor distT="0" distB="0" distL="0" distR="0" simplePos="0" relativeHeight="251660288" behindDoc="1" locked="0" layoutInCell="1" hidden="0" allowOverlap="1" wp14:anchorId="3D89254A" wp14:editId="51685788">
          <wp:simplePos x="0" y="0"/>
          <wp:positionH relativeFrom="column">
            <wp:posOffset>3787140</wp:posOffset>
          </wp:positionH>
          <wp:positionV relativeFrom="paragraph">
            <wp:posOffset>-13335</wp:posOffset>
          </wp:positionV>
          <wp:extent cx="1714500" cy="388620"/>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14500" cy="388620"/>
                  </a:xfrm>
                  <a:prstGeom prst="rect">
                    <a:avLst/>
                  </a:prstGeom>
                  <a:ln/>
                </pic:spPr>
              </pic:pic>
            </a:graphicData>
          </a:graphic>
          <wp14:sizeRelH relativeFrom="margin">
            <wp14:pctWidth>0</wp14:pctWidth>
          </wp14:sizeRelH>
          <wp14:sizeRelV relativeFrom="margin">
            <wp14:pctHeight>0</wp14:pctHeight>
          </wp14:sizeRelV>
        </wp:anchor>
      </w:drawing>
    </w:r>
    <w:r w:rsidR="00280287">
      <w:rPr>
        <w:noProof/>
      </w:rPr>
      <w:drawing>
        <wp:anchor distT="0" distB="0" distL="0" distR="0" simplePos="0" relativeHeight="251659264" behindDoc="1" locked="0" layoutInCell="1" hidden="0" allowOverlap="1" wp14:anchorId="0521F1D5" wp14:editId="02473C1E">
          <wp:simplePos x="0" y="0"/>
          <wp:positionH relativeFrom="column">
            <wp:posOffset>0</wp:posOffset>
          </wp:positionH>
          <wp:positionV relativeFrom="paragraph">
            <wp:posOffset>-13335</wp:posOffset>
          </wp:positionV>
          <wp:extent cx="868680" cy="388620"/>
          <wp:effectExtent l="0" t="0" r="762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868680" cy="388620"/>
                  </a:xfrm>
                  <a:prstGeom prst="rect">
                    <a:avLst/>
                  </a:prstGeom>
                  <a:ln/>
                </pic:spPr>
              </pic:pic>
            </a:graphicData>
          </a:graphic>
          <wp14:sizeRelH relativeFrom="margin">
            <wp14:pctWidth>0</wp14:pctWidth>
          </wp14:sizeRelH>
          <wp14:sizeRelV relativeFrom="margin">
            <wp14:pctHeight>0</wp14:pctHeight>
          </wp14:sizeRelV>
        </wp:anchor>
      </w:drawing>
    </w:r>
    <w:r w:rsidR="00FC2FAE">
      <w:rPr>
        <w:sz w:val="20"/>
        <w:szCs w:val="20"/>
      </w:rPr>
      <w:t xml:space="preserve">                                 </w:t>
    </w:r>
    <w:r w:rsidR="00FC2FAE">
      <w:rPr>
        <w:noProof/>
        <w:sz w:val="20"/>
        <w:szCs w:val="20"/>
      </w:rPr>
      <w:drawing>
        <wp:inline distT="114300" distB="114300" distL="114300" distR="114300" wp14:anchorId="01834CD9" wp14:editId="2527DC7A">
          <wp:extent cx="1280160" cy="307226"/>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
                  <a:srcRect/>
                  <a:stretch>
                    <a:fillRect/>
                  </a:stretch>
                </pic:blipFill>
                <pic:spPr>
                  <a:xfrm>
                    <a:off x="0" y="0"/>
                    <a:ext cx="1329759" cy="319129"/>
                  </a:xfrm>
                  <a:prstGeom prst="rect">
                    <a:avLst/>
                  </a:prstGeom>
                  <a:ln/>
                </pic:spPr>
              </pic:pic>
            </a:graphicData>
          </a:graphic>
        </wp:inline>
      </w:drawing>
    </w:r>
    <w:r w:rsidR="00FC2FAE">
      <w:rPr>
        <w:sz w:val="20"/>
        <w:szCs w:val="20"/>
      </w:rPr>
      <w:t xml:space="preserve">     </w:t>
    </w:r>
    <w:r>
      <w:rPr>
        <w:noProof/>
        <w:sz w:val="20"/>
        <w:szCs w:val="20"/>
      </w:rPr>
      <w:t xml:space="preserve">    </w:t>
    </w:r>
    <w:r w:rsidR="00FC2FAE">
      <w:rPr>
        <w:noProof/>
        <w:sz w:val="20"/>
        <w:szCs w:val="20"/>
      </w:rPr>
      <w:drawing>
        <wp:inline distT="114300" distB="114300" distL="114300" distR="114300" wp14:anchorId="0541FE48" wp14:editId="4FC4B37C">
          <wp:extent cx="739140" cy="312896"/>
          <wp:effectExtent l="0" t="0" r="381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a:stretch>
                    <a:fillRect/>
                  </a:stretch>
                </pic:blipFill>
                <pic:spPr>
                  <a:xfrm>
                    <a:off x="0" y="0"/>
                    <a:ext cx="744563" cy="315191"/>
                  </a:xfrm>
                  <a:prstGeom prst="rect">
                    <a:avLst/>
                  </a:prstGeom>
                  <a:ln/>
                </pic:spPr>
              </pic:pic>
            </a:graphicData>
          </a:graphic>
        </wp:inline>
      </w:drawing>
    </w:r>
  </w:p>
  <w:p w:rsidR="00670717" w:rsidRDefault="00670717">
    <w:pPr>
      <w:pBdr>
        <w:top w:val="nil"/>
        <w:left w:val="nil"/>
        <w:bottom w:val="nil"/>
        <w:right w:val="nil"/>
        <w:between w:val="nil"/>
      </w:pBdr>
      <w:tabs>
        <w:tab w:val="center" w:pos="4252"/>
        <w:tab w:val="right" w:pos="8504"/>
      </w:tabs>
      <w:spacing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3A5A" w:rsidRDefault="00A23A5A">
      <w:pPr>
        <w:spacing w:line="240" w:lineRule="auto"/>
      </w:pPr>
      <w:r>
        <w:separator/>
      </w:r>
    </w:p>
  </w:footnote>
  <w:footnote w:type="continuationSeparator" w:id="0">
    <w:p w:rsidR="00A23A5A" w:rsidRDefault="00A23A5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0717" w:rsidRDefault="00FC2FAE">
    <w:pPr>
      <w:tabs>
        <w:tab w:val="center" w:pos="4252"/>
        <w:tab w:val="right" w:pos="8504"/>
      </w:tabs>
      <w:spacing w:line="240" w:lineRule="auto"/>
    </w:pPr>
    <w:r>
      <w:rPr>
        <w:noProof/>
      </w:rPr>
      <w:drawing>
        <wp:anchor distT="0" distB="0" distL="0" distR="0" simplePos="0" relativeHeight="251658240" behindDoc="1" locked="0" layoutInCell="1" hidden="0" allowOverlap="1">
          <wp:simplePos x="0" y="0"/>
          <wp:positionH relativeFrom="column">
            <wp:posOffset>0</wp:posOffset>
          </wp:positionH>
          <wp:positionV relativeFrom="paragraph">
            <wp:posOffset>-364489</wp:posOffset>
          </wp:positionV>
          <wp:extent cx="1480820" cy="959485"/>
          <wp:effectExtent l="0" t="0" r="0" b="0"/>
          <wp:wrapNone/>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480820" cy="959485"/>
                  </a:xfrm>
                  <a:prstGeom prst="rect">
                    <a:avLst/>
                  </a:prstGeom>
                  <a:ln/>
                </pic:spPr>
              </pic:pic>
            </a:graphicData>
          </a:graphic>
        </wp:anchor>
      </w:drawing>
    </w:r>
  </w:p>
  <w:p w:rsidR="00670717" w:rsidRDefault="00670717">
    <w:pPr>
      <w:tabs>
        <w:tab w:val="center" w:pos="4252"/>
        <w:tab w:val="right" w:pos="8504"/>
      </w:tabs>
      <w:spacing w:line="240" w:lineRule="auto"/>
    </w:pPr>
  </w:p>
  <w:p w:rsidR="00670717" w:rsidRDefault="00670717">
    <w:pPr>
      <w:tabs>
        <w:tab w:val="center" w:pos="4252"/>
        <w:tab w:val="right" w:pos="8504"/>
      </w:tabs>
      <w:spacing w:line="240" w:lineRule="auto"/>
    </w:pPr>
  </w:p>
  <w:p w:rsidR="00670717" w:rsidRDefault="00670717"/>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717"/>
    <w:rsid w:val="000A512C"/>
    <w:rsid w:val="000B68B8"/>
    <w:rsid w:val="000E1782"/>
    <w:rsid w:val="001676CB"/>
    <w:rsid w:val="00177AEC"/>
    <w:rsid w:val="00280287"/>
    <w:rsid w:val="004676FD"/>
    <w:rsid w:val="00536170"/>
    <w:rsid w:val="00670717"/>
    <w:rsid w:val="007403B7"/>
    <w:rsid w:val="007C0C48"/>
    <w:rsid w:val="0098252D"/>
    <w:rsid w:val="00A23A5A"/>
    <w:rsid w:val="00A6123B"/>
    <w:rsid w:val="00AF4734"/>
    <w:rsid w:val="00C0504B"/>
    <w:rsid w:val="00C75D57"/>
    <w:rsid w:val="00CB6B16"/>
    <w:rsid w:val="00EC6506"/>
    <w:rsid w:val="00FC2FA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BBA6F"/>
  <w15:docId w15:val="{6021F341-8D8F-4EC2-BC16-B53C06D8E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iCs/>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Cabealho">
    <w:name w:val="header"/>
    <w:basedOn w:val="Normal"/>
    <w:link w:val="CabealhoChar"/>
    <w:uiPriority w:val="99"/>
    <w:unhideWhenUsed/>
    <w:rsid w:val="00280287"/>
    <w:pPr>
      <w:tabs>
        <w:tab w:val="center" w:pos="4252"/>
        <w:tab w:val="right" w:pos="8504"/>
      </w:tabs>
      <w:spacing w:line="240" w:lineRule="auto"/>
    </w:pPr>
  </w:style>
  <w:style w:type="character" w:customStyle="1" w:styleId="CabealhoChar">
    <w:name w:val="Cabeçalho Char"/>
    <w:basedOn w:val="Fontepargpadro"/>
    <w:link w:val="Cabealho"/>
    <w:uiPriority w:val="99"/>
    <w:rsid w:val="00280287"/>
  </w:style>
  <w:style w:type="paragraph" w:styleId="Rodap">
    <w:name w:val="footer"/>
    <w:basedOn w:val="Normal"/>
    <w:link w:val="RodapChar"/>
    <w:uiPriority w:val="99"/>
    <w:unhideWhenUsed/>
    <w:rsid w:val="00280287"/>
    <w:pPr>
      <w:tabs>
        <w:tab w:val="center" w:pos="4252"/>
        <w:tab w:val="right" w:pos="8504"/>
      </w:tabs>
      <w:spacing w:line="240" w:lineRule="auto"/>
    </w:pPr>
  </w:style>
  <w:style w:type="character" w:customStyle="1" w:styleId="RodapChar">
    <w:name w:val="Rodapé Char"/>
    <w:basedOn w:val="Fontepargpadro"/>
    <w:link w:val="Rodap"/>
    <w:uiPriority w:val="99"/>
    <w:rsid w:val="00280287"/>
  </w:style>
  <w:style w:type="paragraph" w:styleId="NormalWeb">
    <w:name w:val="Normal (Web)"/>
    <w:basedOn w:val="Normal"/>
    <w:uiPriority w:val="99"/>
    <w:semiHidden/>
    <w:unhideWhenUsed/>
    <w:rsid w:val="0053617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536170"/>
    <w:rPr>
      <w:color w:val="0000FF"/>
      <w:u w:val="single"/>
    </w:rPr>
  </w:style>
  <w:style w:type="character" w:customStyle="1" w:styleId="apple-tab-span">
    <w:name w:val="apple-tab-span"/>
    <w:basedOn w:val="Fontepargpadro"/>
    <w:rsid w:val="00AF47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36729">
      <w:bodyDiv w:val="1"/>
      <w:marLeft w:val="0"/>
      <w:marRight w:val="0"/>
      <w:marTop w:val="0"/>
      <w:marBottom w:val="0"/>
      <w:divBdr>
        <w:top w:val="none" w:sz="0" w:space="0" w:color="auto"/>
        <w:left w:val="none" w:sz="0" w:space="0" w:color="auto"/>
        <w:bottom w:val="none" w:sz="0" w:space="0" w:color="auto"/>
        <w:right w:val="none" w:sz="0" w:space="0" w:color="auto"/>
      </w:divBdr>
    </w:div>
    <w:div w:id="1335496287">
      <w:bodyDiv w:val="1"/>
      <w:marLeft w:val="0"/>
      <w:marRight w:val="0"/>
      <w:marTop w:val="0"/>
      <w:marBottom w:val="0"/>
      <w:divBdr>
        <w:top w:val="none" w:sz="0" w:space="0" w:color="auto"/>
        <w:left w:val="none" w:sz="0" w:space="0" w:color="auto"/>
        <w:bottom w:val="none" w:sz="0" w:space="0" w:color="auto"/>
        <w:right w:val="none" w:sz="0" w:space="0" w:color="auto"/>
      </w:divBdr>
      <w:divsChild>
        <w:div w:id="248740078">
          <w:marLeft w:val="-147"/>
          <w:marRight w:val="0"/>
          <w:marTop w:val="0"/>
          <w:marBottom w:val="0"/>
          <w:divBdr>
            <w:top w:val="none" w:sz="0" w:space="0" w:color="auto"/>
            <w:left w:val="none" w:sz="0" w:space="0" w:color="auto"/>
            <w:bottom w:val="none" w:sz="0" w:space="0" w:color="auto"/>
            <w:right w:val="none" w:sz="0" w:space="0" w:color="auto"/>
          </w:divBdr>
        </w:div>
        <w:div w:id="1378622425">
          <w:marLeft w:val="-147"/>
          <w:marRight w:val="0"/>
          <w:marTop w:val="0"/>
          <w:marBottom w:val="0"/>
          <w:divBdr>
            <w:top w:val="none" w:sz="0" w:space="0" w:color="auto"/>
            <w:left w:val="none" w:sz="0" w:space="0" w:color="auto"/>
            <w:bottom w:val="none" w:sz="0" w:space="0" w:color="auto"/>
            <w:right w:val="none" w:sz="0" w:space="0" w:color="auto"/>
          </w:divBdr>
        </w:div>
        <w:div w:id="566377383">
          <w:marLeft w:val="-147"/>
          <w:marRight w:val="0"/>
          <w:marTop w:val="0"/>
          <w:marBottom w:val="0"/>
          <w:divBdr>
            <w:top w:val="none" w:sz="0" w:space="0" w:color="auto"/>
            <w:left w:val="none" w:sz="0" w:space="0" w:color="auto"/>
            <w:bottom w:val="none" w:sz="0" w:space="0" w:color="auto"/>
            <w:right w:val="none" w:sz="0" w:space="0" w:color="auto"/>
          </w:divBdr>
        </w:div>
        <w:div w:id="1750080604">
          <w:marLeft w:val="-152"/>
          <w:marRight w:val="0"/>
          <w:marTop w:val="0"/>
          <w:marBottom w:val="0"/>
          <w:divBdr>
            <w:top w:val="none" w:sz="0" w:space="0" w:color="auto"/>
            <w:left w:val="none" w:sz="0" w:space="0" w:color="auto"/>
            <w:bottom w:val="none" w:sz="0" w:space="0" w:color="auto"/>
            <w:right w:val="none" w:sz="0" w:space="0" w:color="auto"/>
          </w:divBdr>
        </w:div>
        <w:div w:id="151257733">
          <w:marLeft w:val="-152"/>
          <w:marRight w:val="0"/>
          <w:marTop w:val="0"/>
          <w:marBottom w:val="0"/>
          <w:divBdr>
            <w:top w:val="none" w:sz="0" w:space="0" w:color="auto"/>
            <w:left w:val="none" w:sz="0" w:space="0" w:color="auto"/>
            <w:bottom w:val="none" w:sz="0" w:space="0" w:color="auto"/>
            <w:right w:val="none" w:sz="0" w:space="0" w:color="auto"/>
          </w:divBdr>
        </w:div>
        <w:div w:id="420299922">
          <w:marLeft w:val="-152"/>
          <w:marRight w:val="0"/>
          <w:marTop w:val="0"/>
          <w:marBottom w:val="0"/>
          <w:divBdr>
            <w:top w:val="none" w:sz="0" w:space="0" w:color="auto"/>
            <w:left w:val="none" w:sz="0" w:space="0" w:color="auto"/>
            <w:bottom w:val="none" w:sz="0" w:space="0" w:color="auto"/>
            <w:right w:val="none" w:sz="0" w:space="0" w:color="auto"/>
          </w:divBdr>
        </w:div>
        <w:div w:id="278295884">
          <w:marLeft w:val="-152"/>
          <w:marRight w:val="0"/>
          <w:marTop w:val="0"/>
          <w:marBottom w:val="0"/>
          <w:divBdr>
            <w:top w:val="none" w:sz="0" w:space="0" w:color="auto"/>
            <w:left w:val="none" w:sz="0" w:space="0" w:color="auto"/>
            <w:bottom w:val="none" w:sz="0" w:space="0" w:color="auto"/>
            <w:right w:val="none" w:sz="0" w:space="0" w:color="auto"/>
          </w:divBdr>
        </w:div>
        <w:div w:id="1298604492">
          <w:marLeft w:val="-152"/>
          <w:marRight w:val="0"/>
          <w:marTop w:val="0"/>
          <w:marBottom w:val="0"/>
          <w:divBdr>
            <w:top w:val="none" w:sz="0" w:space="0" w:color="auto"/>
            <w:left w:val="none" w:sz="0" w:space="0" w:color="auto"/>
            <w:bottom w:val="none" w:sz="0" w:space="0" w:color="auto"/>
            <w:right w:val="none" w:sz="0" w:space="0" w:color="auto"/>
          </w:divBdr>
        </w:div>
        <w:div w:id="1271476450">
          <w:marLeft w:val="-152"/>
          <w:marRight w:val="0"/>
          <w:marTop w:val="0"/>
          <w:marBottom w:val="0"/>
          <w:divBdr>
            <w:top w:val="none" w:sz="0" w:space="0" w:color="auto"/>
            <w:left w:val="none" w:sz="0" w:space="0" w:color="auto"/>
            <w:bottom w:val="none" w:sz="0" w:space="0" w:color="auto"/>
            <w:right w:val="none" w:sz="0" w:space="0" w:color="auto"/>
          </w:divBdr>
        </w:div>
      </w:divsChild>
    </w:div>
    <w:div w:id="1603567110">
      <w:bodyDiv w:val="1"/>
      <w:marLeft w:val="0"/>
      <w:marRight w:val="0"/>
      <w:marTop w:val="0"/>
      <w:marBottom w:val="0"/>
      <w:divBdr>
        <w:top w:val="none" w:sz="0" w:space="0" w:color="auto"/>
        <w:left w:val="none" w:sz="0" w:space="0" w:color="auto"/>
        <w:bottom w:val="none" w:sz="0" w:space="0" w:color="auto"/>
        <w:right w:val="none" w:sz="0" w:space="0" w:color="auto"/>
      </w:divBdr>
    </w:div>
    <w:div w:id="1685130359">
      <w:bodyDiv w:val="1"/>
      <w:marLeft w:val="0"/>
      <w:marRight w:val="0"/>
      <w:marTop w:val="0"/>
      <w:marBottom w:val="0"/>
      <w:divBdr>
        <w:top w:val="none" w:sz="0" w:space="0" w:color="auto"/>
        <w:left w:val="none" w:sz="0" w:space="0" w:color="auto"/>
        <w:bottom w:val="none" w:sz="0" w:space="0" w:color="auto"/>
        <w:right w:val="none" w:sz="0" w:space="0" w:color="auto"/>
      </w:divBdr>
    </w:div>
    <w:div w:id="19453366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xbNeoJ1vrpqiYyhVVpXZIr/S7Q==">CgMxLjA4AGonChRzdWdnZXN0LmJ1bTFzemlpMnBydRIPUHJpc2NpbGEgSnVsacOqciExNG5lTVpGekF6TFc4SWJKR2ptMXJuTmNKTzluakpGVmY=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3643</Words>
  <Characters>19673</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Priscila Juliê</dc:creator>
  <cp:lastModifiedBy>Priscila Juliê</cp:lastModifiedBy>
  <cp:revision>4</cp:revision>
  <dcterms:created xsi:type="dcterms:W3CDTF">2026-04-15T00:02:00Z</dcterms:created>
  <dcterms:modified xsi:type="dcterms:W3CDTF">2026-04-15T00:02:00Z</dcterms:modified>
</cp:coreProperties>
</file>